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mc:Ignorable="w14 w15">
  <w:body>
    <w:p w14:paraId="ed95a5ca" w14:textId="ed95a5ca">
      <w:pPr>
        <w15:collapsed w:val="false"/>
      </w:pPr>
    </w:p>
    <w:p>
      <w:pPr>
        <w:rPr>
          <w:rFonts w:cs="Arial"/>
        </w:rPr>
      </w:pPr>
      <w:r>
        <w:rPr>
          <w:rFonts w:cs="Arial"/>
        </w:rPr>
      </w:r>
    </w:p>
    <w:p>
      <w:pPr>
        <w:pStyle w:val="Heading1"/>
        <w:jc w:val="center"/>
        <w:rPr>
          <w:rFonts w:ascii="Calibri" w:hAnsi="Calibri"/>
          <w:color w:val="auto"/>
          <w:sz w:val="32"/>
          <w:szCs w:val="32"/>
        </w:rPr>
      </w:pPr>
      <w:r>
        <w:rPr>
          <w:rFonts w:ascii="Calibri" w:hAnsi="Calibri"/>
          <w:color w:val="auto"/>
          <w:sz w:val="32"/>
          <w:szCs w:val="32"/>
        </w:rPr>
        <w:t xml:space="preserve">Executive Summary </w:t>
      </w:r>
    </w:p>
    <w:p>
      <w:pPr>
        <w:pStyle w:val="Heading2"/>
        <w:rPr>
          <w:rFonts w:ascii="Calibri" w:hAnsi="Calibri"/>
          <w:i w:val="false"/>
        </w:rPr>
      </w:pPr>
      <w:r>
        <w:rPr>
          <w:rFonts w:ascii="Calibri" w:hAnsi="Calibri"/>
          <w:i w:val="false"/>
        </w:rPr>
        <w:t>AP-05 Executive Summary - 91.200(c), 91.220(b)</w:t>
      </w:r>
    </w:p>
    <w:p>
      <w:pPr>
        <w:rPr>
          <w:b/>
          <w:sz w:val="24"/>
          <w:szCs w:val="24"/>
        </w:rPr>
      </w:pPr>
      <w:r>
        <w:rPr>
          <w:b/>
          <w:sz w:val="24"/>
          <w:szCs w:val="24"/>
        </w:rPr>
        <w:t>1.</w:t>
        <w:tab/>
        <w:t>Introduction</w:t>
      </w:r>
    </w:p>
    <w:p>
      <w:pPr>
        <w:rPr>
          <w:b/>
          <w:sz w:val="24"/>
          <w:szCs w:val="24"/>
        </w:rPr>
      </w:pPr>
      <w:r>
        <w:rPr>
          <w:b/>
          <w:sz w:val="24"/>
          <w:szCs w:val="24"/>
        </w:rPr>
        <w:t>2.</w:t>
        <w:tab/>
        <w:t xml:space="preserve">Summarize the objectives and outcomes identified in the Plan  </w:t>
      </w:r>
    </w:p>
    <w:p>
      <w:pPr>
        <w:rPr>
          <w:b/>
          <w:sz w:val="24"/>
          <w:szCs w:val="24"/>
        </w:rPr>
      </w:pPr>
      <w:r>
        <w:rPr>
          <w:sz w:val="24"/>
          <w:szCs w:val="24"/>
        </w:rPr>
        <w:t>This could be a restatement of items or a table listed elsewhere in the plan or a reference to another location.</w:t>
      </w:r>
      <w:r>
        <w:t xml:space="preserve"> </w:t>
      </w:r>
      <w:r>
        <w:rPr>
          <w:sz w:val="24"/>
          <w:szCs w:val="24"/>
        </w:rPr>
        <w:t>It may also contain any essential items from the housing and homeless needs assessment, the housing market analysis or the strategic plan.</w:t>
      </w:r>
    </w:p>
    <w:p>
      <w:pPr>
        <w:rPr>
          <w:b/>
          <w:sz w:val="24"/>
          <w:szCs w:val="24"/>
        </w:rPr>
      </w:pPr>
      <w:r>
        <w:rPr>
          <w:b/>
          <w:sz w:val="24"/>
          <w:szCs w:val="24"/>
        </w:rPr>
        <w:t>3.</w:t>
        <w:tab/>
        <w:t xml:space="preserve">Evaluation of past performance </w:t>
      </w:r>
    </w:p>
    <w:p>
      <w:pPr>
        <w:rPr>
          <w:b/>
          <w:sz w:val="24"/>
          <w:szCs w:val="24"/>
        </w:rPr>
      </w:pPr>
      <w:r>
        <w:rPr>
          <w:sz w:val="24"/>
          <w:szCs w:val="24"/>
        </w:rPr>
        <w:t>This is an evaluation of past performance that helped lead the grantee to choose its goals or projects.</w:t>
      </w:r>
    </w:p>
    <w:p>
      <w:pPr>
        <w:rPr>
          <w:b/>
          <w:sz w:val="24"/>
          <w:szCs w:val="24"/>
        </w:rPr>
      </w:pPr>
      <w:r>
        <w:rPr>
          <w:b/>
          <w:sz w:val="24"/>
          <w:szCs w:val="24"/>
        </w:rPr>
        <w:t>4.</w:t>
        <w:tab/>
        <w:t xml:space="preserve">Summary of Citizen Participation Process and consultation process </w:t>
      </w:r>
    </w:p>
    <w:p>
      <w:pPr>
        <w:rPr>
          <w:b/>
          <w:sz w:val="24"/>
          <w:szCs w:val="24"/>
        </w:rPr>
      </w:pPr>
      <w:r>
        <w:rPr>
          <w:sz w:val="24"/>
          <w:szCs w:val="24"/>
        </w:rPr>
        <w:t>Summary from citizen participation section of plan.</w:t>
      </w:r>
    </w:p>
    <w:p>
      <w:pPr>
        <w:rPr>
          <w:b/>
          <w:sz w:val="24"/>
          <w:szCs w:val="24"/>
        </w:rPr>
      </w:pPr>
      <w:r>
        <w:rPr>
          <w:b/>
          <w:sz w:val="24"/>
          <w:szCs w:val="24"/>
        </w:rPr>
        <w:t>5.</w:t>
        <w:tab/>
        <w:t>Summary of public comments</w:t>
      </w:r>
    </w:p>
    <w:p>
      <w:pPr>
        <w:rPr>
          <w:sz w:val="24"/>
          <w:szCs w:val="24"/>
        </w:rPr>
      </w:pPr>
      <w:r>
        <w:rPr>
          <w:sz w:val="24"/>
          <w:szCs w:val="24"/>
        </w:rPr>
        <w:t>This could be a brief narrative summary or reference an attached document from the Citizen Participation section of the Con Plan.</w:t>
      </w:r>
    </w:p>
    <w:p>
      <w:pPr>
        <w:rPr>
          <w:b/>
          <w:sz w:val="24"/>
          <w:szCs w:val="24"/>
        </w:rPr>
      </w:pPr>
      <w:r>
        <w:rPr>
          <w:b/>
          <w:sz w:val="24"/>
          <w:szCs w:val="24"/>
        </w:rPr>
        <w:t>6.</w:t>
        <w:tab/>
        <w:t>Summary of comments or views not accepted and the reasons for not accepting them</w:t>
      </w:r>
    </w:p>
    <w:p>
      <w:pPr>
        <w:rPr>
          <w:b/>
          <w:sz w:val="24"/>
          <w:szCs w:val="24"/>
        </w:rPr>
      </w:pPr>
      <w:r>
        <w:rPr>
          <w:b/>
          <w:sz w:val="24"/>
          <w:szCs w:val="24"/>
        </w:rPr>
        <w:t>7.</w:t>
        <w:tab/>
        <w:t>Summary</w:t>
      </w:r>
    </w:p>
    <w:p>
      <w:pPr>
        <w:pStyle w:val="Heading2"/>
        <w:pageBreakBefore/>
        <w:rPr>
          <w:rFonts w:ascii="Calibri" w:hAnsi="Calibri"/>
          <w:i w:val="false"/>
        </w:rPr>
        <w:sectPr>
          <w:headerReference r:id="rId8" w:type="even"/>
          <w:headerReference r:id="rId9" w:type="default"/>
          <w:footerReference r:id="rId10" w:type="even"/>
          <w:footerReference r:id="rId11" w:type="default"/>
          <w:headerReference r:id="rId12" w:type="first"/>
          <w:footerReference r:id="rId13" w:type="first"/>
          <w:pgSz w:w="12240" w:h="15840" w:code="1"/>
          <w:pgMar w:top="1440" w:right="1440" w:bottom="1440" w:left="1440" w:header="720" w:footer="720" w:gutter="0"/>
          <w:cols w:space="720"/>
          <w:docGrid w:linePitch="360"/>
        </w:sectPr>
      </w:pPr>
    </w:p>
    <w:p>
      <w:pPr>
        <w:pStyle w:val="Heading2"/>
        <w:pageBreakBefore/>
        <w:rPr>
          <w:rFonts w:ascii="Calibri" w:hAnsi="Calibri"/>
          <w:i w:val="false"/>
        </w:rPr>
      </w:pPr>
      <w:r>
        <w:rPr>
          <w:rFonts w:ascii="Calibri" w:hAnsi="Calibri"/>
          <w:i w:val="false"/>
        </w:rPr>
        <w:t>PR-05 Lead &amp; Responsible Agencies - 91.200(b)</w:t>
      </w:r>
    </w:p>
    <w:p>
      <w:pPr>
        <w:keepNext/>
        <w:rPr>
          <w:b/>
          <w:sz w:val="24"/>
          <w:szCs w:val="24"/>
        </w:rPr>
      </w:pPr>
      <w:r>
        <w:rPr>
          <w:b/>
          <w:sz w:val="24"/>
          <w:szCs w:val="24"/>
        </w:rPr>
        <w:t>1.</w:t>
        <w:tab/>
        <w:t>Agency/entity responsible for preparing/administering the Consolidated Plan</w:t>
      </w:r>
    </w:p>
    <w:p>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392"/>
        <w:gridCol w:w="4392"/>
        <w:gridCol w:w="4392"/>
      </w:tblGrid>
      <w:tr>
        <w:trPr>
          <w:cantSplit/>
          <w:tblHeader/>
        </w:trPr>
        <w:tc>
          <w:tcPr>
            <w:tcW w:w="3192" w:type="dxa"/>
          </w:tcPr>
          <w:p>
            <w:pPr>
              <w:keepNext/>
              <w:widowControl w:val="false"/>
              <w:spacing w:after="0" w:line="240" w:lineRule="auto"/>
              <w:jc w:val="center"/>
              <w:rPr>
                <w:b/>
                <w:bCs/>
              </w:rPr>
            </w:pPr>
            <w:r>
              <w:rPr>
                <w:b/>
                <w:bCs/>
              </w:rPr>
              <w:t>Agency Role</w:t>
            </w:r>
          </w:p>
        </w:tc>
        <w:tc>
          <w:tcPr>
            <w:tcW w:w="3192" w:type="dxa"/>
          </w:tcPr>
          <w:p>
            <w:pPr>
              <w:keepNext/>
              <w:widowControl w:val="false"/>
              <w:spacing w:after="0" w:line="240" w:lineRule="auto"/>
              <w:jc w:val="center"/>
              <w:rPr>
                <w:b/>
                <w:bCs/>
              </w:rPr>
            </w:pPr>
            <w:r>
              <w:rPr>
                <w:b/>
                <w:bCs/>
              </w:rPr>
              <w:t>Name</w:t>
            </w:r>
          </w:p>
        </w:tc>
        <w:tc>
          <w:tcPr>
            <w:tcW w:w="3192" w:type="dxa"/>
          </w:tcPr>
          <w:p>
            <w:pPr>
              <w:keepNext/>
              <w:widowControl w:val="false"/>
              <w:spacing w:after="0" w:line="240" w:lineRule="auto"/>
              <w:jc w:val="center"/>
              <w:rPr>
                <w:b/>
                <w:bCs/>
              </w:rPr>
            </w:pPr>
            <w:r>
              <w:rPr>
                <w:b/>
                <w:bCs/>
              </w:rPr>
              <w:t>Department/Agency</w:t>
            </w:r>
          </w:p>
        </w:tc>
      </w:tr>
      <w:tr>
        <w:trPr>
          <w:cantSplit w:val="true"/>
        </w:trPr>
        <w:tc>
          <w:tcPr>
            <w:vAlign w:val="top"/>
          </w:tcPr>
          <w:p>
            <w:pPr>
              <w:spacing w:beforeAutospacing="true" w:afterAutospacing="true"/>
              <w:jc w:val="left"/>
            </w:pPr>
            <w:r>
              <w:rPr>
                <w:rFonts w:ascii="Calibri" w:hAnsi="Calibri"/>
                <w:color w:val="000000"/>
                <w:sz w:val="22"/>
              </w:rPr>
              <w:t xml:space="preserve">Lead  Agency</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 </w:t>
            </w:r>
          </w:p>
        </w:tc>
      </w:tr>
    </w:tbl>
    <w:p>
      <w:pPr>
        <w:spacing w:after="0" w:line="240" w:lineRule="auto"/>
        <w:rPr>
          <w:b/>
          <w:vanish/>
          <w:sz w:val="24"/>
          <w:szCs w:val="24"/>
        </w:rPr>
      </w:pP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392"/>
        <w:gridCol w:w="4392"/>
        <w:gridCol w:w="4392"/>
      </w:tblGrid>
      <w:tr>
        <w:trPr>
          <w:cantSplit/>
          <w:tblHeader/>
          <w:hidden/>
        </w:trPr>
        <w:tc>
          <w:tcPr>
            <w:tcW w:w="3192" w:type="dxa"/>
          </w:tcPr>
          <w:p>
            <w:pPr>
              <w:keepNext/>
              <w:widowControl w:val="false"/>
              <w:spacing w:after="0" w:line="240" w:lineRule="auto"/>
              <w:jc w:val="center"/>
              <w:rPr>
                <w:b/>
                <w:bCs/>
                <w:vanish/>
              </w:rPr>
            </w:pPr>
          </w:p>
        </w:tc>
        <w:tc>
          <w:tcPr>
            <w:tcW w:w="3192" w:type="dxa"/>
          </w:tcPr>
          <w:p>
            <w:pPr>
              <w:keepNext/>
              <w:widowControl w:val="false"/>
              <w:spacing w:after="0" w:line="240" w:lineRule="auto"/>
              <w:jc w:val="center"/>
              <w:rPr>
                <w:b/>
                <w:bCs/>
                <w:vanish/>
              </w:rPr>
            </w:pPr>
          </w:p>
        </w:tc>
        <w:tc>
          <w:tcPr>
            <w:tcW w:w="3192" w:type="dxa"/>
          </w:tcPr>
          <w:p>
            <w:pPr>
              <w:keepNext/>
              <w:widowControl w:val="false"/>
              <w:spacing w:after="0" w:line="240" w:lineRule="auto"/>
              <w:jc w:val="center"/>
              <w:rPr>
                <w:b/>
                <w:bCs/>
                <w:vanish/>
              </w:rPr>
            </w:pPr>
          </w:p>
        </w:tc>
      </w:tr>
      <w:tr>
        <w:trPr>
          <w:cantSplit w:val="true"/>
        </w:trPr>
        <w:tc>
          <w:tcPr>
            <w:vAlign w:val="top"/>
          </w:tcPr>
          <w:p>
            <w:pPr>
              <w:spacing w:beforeAutospacing="true" w:afterAutospacing="true"/>
              <w:jc w:val="left"/>
            </w:pPr>
            <w:r>
              <w:rPr>
                <w:rFonts w:ascii="Calibri" w:hAnsi="Calibri"/>
                <w:color w:val="000000"/>
                <w:sz w:val="22"/>
              </w:rPr>
              <w:t xml:space="preserve">CDBG Administrator</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Salt Lake County Housing &amp; Community Development</w:t>
            </w:r>
          </w:p>
        </w:tc>
      </w:tr>
      <w:tr>
        <w:trPr>
          <w:cantSplit w:val="true"/>
        </w:trPr>
        <w:tc>
          <w:tcPr>
            <w:vAlign w:val="top"/>
          </w:tcPr>
          <w:p>
            <w:pPr>
              <w:spacing w:beforeAutospacing="true" w:afterAutospacing="true"/>
              <w:jc w:val="left"/>
            </w:pPr>
            <w:r>
              <w:rPr>
                <w:rFonts w:ascii="Calibri" w:hAnsi="Calibri"/>
                <w:color w:val="000000"/>
                <w:sz w:val="22"/>
              </w:rPr>
              <w:t xml:space="preserve">HOPWA Administrator</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HOME Administrator</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Salt Lake County Housing &amp; Community Development</w:t>
            </w:r>
          </w:p>
        </w:tc>
      </w:tr>
      <w:tr>
        <w:trPr>
          <w:cantSplit w:val="true"/>
        </w:trPr>
        <w:tc>
          <w:tcPr>
            <w:vAlign w:val="top"/>
          </w:tcPr>
          <w:p>
            <w:pPr>
              <w:spacing w:beforeAutospacing="true" w:afterAutospacing="true"/>
              <w:jc w:val="left"/>
            </w:pPr>
            <w:r>
              <w:rPr>
                <w:rFonts w:ascii="Calibri" w:hAnsi="Calibri"/>
                <w:color w:val="000000"/>
                <w:sz w:val="22"/>
              </w:rPr>
              <w:t xml:space="preserve">ESG Administrator</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Salt Lake County Housing &amp; Community Development</w:t>
            </w:r>
          </w:p>
        </w:tc>
      </w:tr>
      <w:tr>
        <w:trPr>
          <w:cantSplit w:val="true"/>
        </w:trPr>
        <w:tc>
          <w:tcPr>
            <w:vAlign w:val="top"/>
          </w:tcPr>
          <w:p>
            <w:pPr>
              <w:spacing w:beforeAutospacing="true" w:afterAutospacing="true"/>
              <w:jc w:val="left"/>
            </w:pPr>
            <w:r>
              <w:rPr>
                <w:rFonts w:ascii="Calibri" w:hAnsi="Calibri"/>
                <w:color w:val="000000"/>
                <w:sz w:val="22"/>
              </w:rPr>
              <w:t xml:space="preserve">HOPWA-C Administrator</w:t>
            </w:r>
          </w:p>
        </w:tc>
        <w:tc>
          <w:tcPr>
            <w:vAlign w:val="top"/>
          </w:tcPr>
          <w:p>
            <w:pPr>
              <w:spacing w:beforeAutospacing="true" w:afterAutospacing="true"/>
              <w:jc w:val="left"/>
            </w:pPr>
            <w:r>
              <w:rPr>
                <w:rFonts w:ascii="Calibri" w:hAnsi="Calibri"/>
                <w:color w:val="000000"/>
                <w:sz w:val="22"/>
              </w:rPr>
              <w:t xml:space="preserve"> </w:t>
            </w:r>
          </w:p>
        </w:tc>
        <w:tc>
          <w:tcPr>
            <w:vAlign w:val="top"/>
          </w:tcPr>
          <w:p>
            <w:pPr>
              <w:spacing w:beforeAutospacing="true" w:afterAutospacing="true"/>
              <w:jc w:val="lef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w:t>
        <w:fldChar w:fldCharType="end"/>
        <w:t xml:space="preserve"> – Responsible Agencies</w:t>
      </w:r>
    </w:p>
    <w:p>
      <w:pPr>
        <w:spacing w:after="0" w:line="240" w:lineRule="auto"/>
        <w:rPr>
          <w:b/>
          <w:sz w:val="24"/>
          <w:szCs w:val="24"/>
        </w:rPr>
      </w:pPr>
    </w:p>
    <w:p>
      <w:pPr>
        <w:rPr>
          <w:b/>
          <w:sz w:val="24"/>
          <w:szCs w:val="24"/>
        </w:rPr>
      </w:pPr>
      <w:r>
        <w:rPr>
          <w:b/>
          <w:sz w:val="24"/>
          <w:szCs w:val="24"/>
        </w:rPr>
        <w:t>Narrative</w:t>
      </w:r>
    </w:p>
    <w:p>
      <w:pPr>
        <w:rPr>
          <w:b/>
          <w:sz w:val="24"/>
          <w:szCs w:val="24"/>
        </w:rPr>
      </w:pPr>
      <w:r>
        <w:rPr>
          <w:b/>
          <w:sz w:val="24"/>
          <w:szCs w:val="24"/>
        </w:rPr>
        <w:t>Consolidated Plan Public Contact Information</w:t>
      </w:r>
    </w:p>
    <w:p>
      <w:pPr>
        <w:spacing w:after="0" w:line="240" w:lineRule="auto"/>
        <w:rPr>
          <w:rFonts w:cs="Arial"/>
        </w:rPr>
      </w:pPr>
      <w:r>
        <w:rPr>
          <w:rFonts w:cs="Arial"/>
        </w:rPr>
        <w:br w:type="page"/>
      </w:r>
    </w:p>
    <w:p>
      <w:pPr>
        <w:pStyle w:val="Heading2"/>
        <w:keepNext w:val="false"/>
        <w:pageBreakBefore/>
        <w:widowControl w:val="false"/>
        <w:rPr>
          <w:rFonts w:ascii="Calibri" w:hAnsi="Calibri"/>
          <w:i w:val="false"/>
        </w:rPr>
        <w:sectPr>
          <w:pgSz w:w="15840" w:h="12240" w:orient="landscape" w:code="1"/>
          <w:pgMar w:top="1440" w:right="1440" w:bottom="1440" w:left="1440" w:header="720" w:footer="720" w:gutter="0"/>
          <w:cols w:space="720"/>
          <w:docGrid w:linePitch="360"/>
        </w:sectPr>
      </w:pPr>
    </w:p>
    <w:p>
      <w:pPr>
        <w:pStyle w:val="Heading2"/>
        <w:keepNext w:val="false"/>
        <w:pageBreakBefore/>
        <w:widowControl w:val="false"/>
        <w:rPr>
          <w:rFonts w:ascii="Calibri" w:hAnsi="Calibri"/>
          <w:i w:val="false"/>
        </w:rPr>
      </w:pPr>
      <w:r>
        <w:rPr>
          <w:rFonts w:ascii="Calibri" w:hAnsi="Calibri"/>
          <w:i w:val="false"/>
        </w:rPr>
        <w:t>AP-10 Consultation - 91.100, 91.200(b), 91.215(l)</w:t>
      </w:r>
    </w:p>
    <w:p>
      <w:pPr>
        <w:rPr>
          <w:b/>
          <w:sz w:val="24"/>
          <w:szCs w:val="24"/>
        </w:rPr>
      </w:pPr>
      <w:r>
        <w:rPr>
          <w:b/>
          <w:sz w:val="24"/>
          <w:szCs w:val="24"/>
        </w:rPr>
        <w:t>1.</w:t>
        <w:tab/>
        <w:t>Introduction</w:t>
      </w:r>
    </w:p>
    <w:p>
      <w:pPr>
        <w:rPr>
          <w:b/>
          <w:sz w:val="24"/>
          <w:szCs w:val="24"/>
        </w:rPr>
      </w:pPr>
      <w:r>
        <w:rPr>
          <w:b/>
          <w:sz w:val="24"/>
          <w:szCs w:val="24"/>
        </w:rPr>
        <w:t>Provide a concise summary of the jurisdiction’s activities to enhance coordination between public and assisted housing providers and private and governmental health, mental health and service agencies (91.215(l)).</w:t>
      </w:r>
    </w:p>
    <w:p>
      <w:pPr>
        <w:rPr>
          <w:b/>
          <w:sz w:val="24"/>
          <w:szCs w:val="24"/>
        </w:rPr>
      </w:pPr>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pPr>
        <w:rPr>
          <w:b/>
          <w:sz w:val="24"/>
          <w:szCs w:val="24"/>
        </w:rPr>
      </w:pPr>
      <w:r>
        <w:rPr>
          <w:b/>
          <w:sz w:val="24"/>
          <w:szCs w:val="24"/>
        </w:rPr>
        <w:t>2.</w:t>
        <w:tab/>
        <w:t>Agencies, groups, organizations and others who participated in the process and consultations</w:t>
      </w:r>
    </w:p>
    <w:p>
      <w:pPr>
        <w:keepNext/>
        <w:widowControl w:val="false"/>
        <w:spacing w:after="0" w:line="240" w:lineRule="auto"/>
        <w:rPr>
          <w:b/>
          <w:bCs/>
        </w:rPr>
        <w:sectPr>
          <w:pgSz w:w="12240" w:h="15840" w:code="1"/>
          <w:pgMar w:top="1440" w:right="1440" w:bottom="1440" w:left="1440" w:header="720" w:footer="720" w:gutter="0"/>
          <w:cols w:space="720"/>
          <w:docGrid w:linePitch="360"/>
        </w:sectPr>
      </w:pPr>
    </w:p>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2</w:t>
        <w:fldChar w:fldCharType="end"/>
        <w:t xml:space="preserve"> – Agencies, groups, organizations who participated</w:t>
      </w:r>
    </w:p>
    <w:p/>
    <w:p>
      <w:pPr>
        <w:rPr>
          <w:b/>
          <w:sz w:val="24"/>
          <w:szCs w:val="24"/>
        </w:rPr>
      </w:pPr>
      <w:r>
        <w:rPr>
          <w:b/>
          <w:sz w:val="24"/>
          <w:szCs w:val="24"/>
        </w:rPr>
        <w:t>Identify any Agency Types not consulted and provide rationale for not consulting</w:t>
      </w:r>
    </w:p>
    <w:p>
      <w:pPr>
        <w:rPr>
          <w:rFonts w:cs="Arial"/>
        </w:rPr>
      </w:pPr>
    </w:p>
    <w:p>
      <w:pPr>
        <w:keepNext/>
        <w:rPr>
          <w:b/>
          <w:sz w:val="24"/>
          <w:szCs w:val="24"/>
        </w:rPr>
      </w:pPr>
      <w:r>
        <w:rPr>
          <w:b/>
          <w:sz w:val="24"/>
          <w:szCs w:val="24"/>
        </w:rPr>
        <w:t>Other local/regional/state/federal planning efforts considered when preparing the Plan</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4392"/>
        <w:gridCol w:w="4392"/>
        <w:gridCol w:w="4392"/>
      </w:tblGrid>
      <w:tr>
        <w:trPr>
          <w:cantSplit/>
          <w:tblHeader/>
        </w:trPr>
        <w:tc>
          <w:tcPr>
            <w:tcW w:w="3192" w:type="dxa"/>
          </w:tcPr>
          <w:p>
            <w:pPr>
              <w:keepNext/>
              <w:widowControl w:val="false"/>
              <w:spacing w:after="0" w:line="240" w:lineRule="auto"/>
              <w:jc w:val="center"/>
              <w:rPr>
                <w:b/>
                <w:bCs/>
              </w:rPr>
            </w:pPr>
            <w:r>
              <w:rPr>
                <w:b/>
                <w:bCs/>
              </w:rPr>
              <w:t>Name of Plan</w:t>
            </w:r>
          </w:p>
        </w:tc>
        <w:tc>
          <w:tcPr>
            <w:tcW w:w="3192" w:type="dxa"/>
          </w:tcPr>
          <w:p>
            <w:pPr>
              <w:spacing w:after="0" w:line="240" w:lineRule="auto"/>
              <w:jc w:val="center"/>
              <w:rPr>
                <w:b/>
                <w:bCs/>
              </w:rPr>
            </w:pPr>
            <w:r>
              <w:rPr>
                <w:b/>
                <w:bCs/>
              </w:rPr>
              <w:t>Lead Organization</w:t>
            </w:r>
          </w:p>
        </w:tc>
        <w:tc>
          <w:tcPr>
            <w:tcW w:w="3192" w:type="dxa"/>
          </w:tcPr>
          <w:p>
            <w:pPr>
              <w:keepNext/>
              <w:widowControl w:val="false"/>
              <w:spacing w:after="0" w:line="240" w:lineRule="auto"/>
              <w:jc w:val="center"/>
              <w:rPr>
                <w:b/>
                <w:bCs/>
              </w:rPr>
            </w:pPr>
            <w:r>
              <w:rPr>
                <w:b/>
                <w:bCs/>
              </w:rPr>
              <w:t>How do the goals of your Strategic Plan overlap with the goals of each plan?</w:t>
            </w:r>
          </w:p>
        </w:tc>
      </w:tr>
      <w:tr>
        <w:trPr>
          <w:cantSplit/>
          <w:tblHeader/>
        </w:trPr>
        <w:tc>
          <w:tcPr>
            <w:tcW w:w="3192" w:type="dxa"/>
          </w:tcPr>
          <w:p>
            <w:pPr>
              <w:keepNext/>
              <w:widowControl w:val="false"/>
              <w:spacing w:after="0" w:line="240" w:lineRule="auto"/>
              <w:rPr>
                <w:bCs/>
              </w:rPr>
            </w:pPr>
          </w:p>
        </w:tc>
        <w:tc>
          <w:tcPr>
            <w:tcW w:w="3192" w:type="dxa"/>
          </w:tcPr>
          <w:p>
            <w:pPr>
              <w:keepNext/>
              <w:widowControl w:val="false"/>
              <w:spacing w:after="0" w:line="240" w:lineRule="auto"/>
              <w:rPr>
                <w:bCs/>
              </w:rPr>
            </w:pPr>
          </w:p>
        </w:tc>
        <w:tc>
          <w:tcPr>
            <w:tcW w:w="3192" w:type="dxa"/>
          </w:tcPr>
          <w:p>
            <w:pPr>
              <w:keepNext/>
              <w:widowControl w:val="false"/>
              <w:spacing w:after="0" w:line="240" w:lineRule="auto"/>
              <w:rPr>
                <w:bCs/>
              </w:rPr>
            </w:pP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3</w:t>
        <w:fldChar w:fldCharType="end"/>
        <w:t xml:space="preserve"> - Other local / regional / federal planning efforts</w:t>
      </w:r>
    </w:p>
    <w:p>
      <w:pPr>
        <w:rPr>
          <w:rFonts w:asciiTheme="minorHAnsi" w:hAnsiTheme="minorHAnsi"/>
        </w:rPr>
      </w:pPr>
    </w:p>
    <w:p>
      <w:pPr>
        <w:rPr>
          <w:b/>
          <w:sz w:val="24"/>
          <w:szCs w:val="24"/>
        </w:rPr>
      </w:pPr>
      <w:r>
        <w:rPr>
          <w:b/>
          <w:sz w:val="24"/>
          <w:szCs w:val="24"/>
        </w:rPr>
        <w:t>Narrative</w:t>
      </w:r>
    </w:p>
    <w:p>
      <w:pPr>
        <w:rPr>
          <w:rFonts w:cs="Arial"/>
        </w:rPr>
        <w:sectPr>
          <w:pgSz w:w="15840" w:h="12240" w:orient="landscape" w:code="1"/>
          <w:pgMar w:top="1440" w:right="1440" w:bottom="1440" w:left="1440" w:header="720" w:footer="720" w:gutter="0"/>
          <w:cols w:space="720"/>
          <w:docGrid w:linePitch="360"/>
        </w:sectPr>
      </w:pPr>
    </w:p>
    <w:p>
      <w:pPr>
        <w:pStyle w:val="Heading2"/>
        <w:keepNext w:val="false"/>
        <w:pageBreakBefore/>
        <w:widowControl w:val="false"/>
        <w:rPr>
          <w:rFonts w:ascii="Calibri" w:hAnsi="Calibri"/>
          <w:i w:val="false"/>
        </w:rPr>
      </w:pPr>
      <w:r>
        <w:rPr>
          <w:rFonts w:ascii="Calibri" w:hAnsi="Calibri"/>
          <w:i w:val="false"/>
        </w:rPr>
        <w:t>AP-12 Participation - 91.401, 91.105, 91.200(c)</w:t>
      </w:r>
    </w:p>
    <w:p>
      <w:pPr>
        <w:spacing w:after="0" w:line="240" w:lineRule="auto"/>
        <w:rPr>
          <w:b/>
          <w:sz w:val="24"/>
          <w:szCs w:val="24"/>
        </w:rPr>
      </w:pPr>
      <w:r>
        <w:rPr>
          <w:b/>
          <w:sz w:val="24"/>
          <w:szCs w:val="24"/>
        </w:rPr>
        <w:t>1.</w:t>
        <w:tab/>
        <w:t>Summary of citizen participation process/Efforts made to broaden citizen participation</w:t>
      </w:r>
    </w:p>
    <w:p>
      <w:pPr>
        <w:spacing w:after="0" w:line="240" w:lineRule="auto"/>
        <w:rPr>
          <w:b/>
          <w:sz w:val="24"/>
          <w:szCs w:val="24"/>
        </w:rPr>
      </w:pPr>
      <w:r>
        <w:rPr>
          <w:b/>
          <w:sz w:val="24"/>
          <w:szCs w:val="24"/>
        </w:rPr>
        <w:t>Summarize citizen participation process and how it impacted goal-setting</w:t>
      </w:r>
    </w:p>
    <w:p>
      <w:pPr>
        <w:spacing w:after="0" w:line="240" w:lineRule="auto"/>
        <w:rPr>
          <w:b/>
          <w:sz w:val="24"/>
          <w:szCs w:val="24"/>
        </w:rPr>
      </w:pPr>
    </w:p>
    <w:p>
      <w:pPr>
        <w:rPr>
          <w:rFonts w:cs="Arial"/>
        </w:rPr>
      </w:pPr>
    </w:p>
    <w:p>
      <w:pPr>
        <w:keepNext/>
        <w:rPr>
          <w:b/>
          <w:sz w:val="24"/>
          <w:szCs w:val="24"/>
        </w:rPr>
      </w:pPr>
      <w:r>
        <w:rPr>
          <w:b/>
          <w:sz w:val="24"/>
          <w:szCs w:val="24"/>
        </w:rPr>
        <w:t>Citizen Participation Outreach</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firstRow="1" w:lastRow="1" w:firstColumn="1" w:lastColumn="1" w:noHBand="0" w:noVBand="0" w:val="01E0"/>
      </w:tblPr>
      <w:tblGrid>
        <w:gridCol w:w="1232"/>
        <w:gridCol w:w="1908"/>
        <w:gridCol w:w="1956"/>
        <w:gridCol w:w="2192"/>
        <w:gridCol w:w="2020"/>
        <w:gridCol w:w="2350"/>
        <w:gridCol w:w="1532"/>
      </w:tblGrid>
      <w:tr>
        <w:trPr>
          <w:cantSplit/>
          <w:tblHeader/>
        </w:trPr>
        <w:tc>
          <w:tcPr>
            <w:tcW w:w="540" w:type="pct"/>
            <w:tcBorders>
              <w:top w:val="single" w:color="auto" w:sz="4" w:space="0"/>
              <w:left w:val="single" w:color="auto" w:sz="4" w:space="0"/>
              <w:bottom w:val="single" w:color="auto" w:sz="4" w:space="0"/>
              <w:right w:val="single" w:color="auto" w:sz="4" w:space="0"/>
            </w:tcBorders>
            <w:hideMark/>
          </w:tcPr>
          <w:p>
            <w:pPr>
              <w:keepNext/>
              <w:spacing w:after="0" w:line="240" w:lineRule="auto"/>
              <w:jc w:val="center"/>
              <w:rPr>
                <w:b/>
                <w:bCs/>
              </w:rPr>
            </w:pPr>
            <w:r>
              <w:rPr>
                <w:b/>
                <w:bCs/>
              </w:rPr>
              <w:t>Sort Order</w:t>
            </w:r>
          </w:p>
        </w:tc>
        <w:tc>
          <w:tcPr>
            <w:tcW w:w="540" w:type="pct"/>
            <w:tcBorders>
              <w:top w:val="single" w:color="auto" w:sz="4" w:space="0"/>
              <w:left w:val="single" w:color="auto" w:sz="4" w:space="0"/>
              <w:bottom w:val="single" w:color="auto" w:sz="4" w:space="0"/>
              <w:right w:val="single" w:color="auto" w:sz="4" w:space="0"/>
            </w:tcBorders>
            <w:hideMark/>
          </w:tcPr>
          <w:p>
            <w:pPr>
              <w:keepNext/>
              <w:spacing w:after="0" w:line="240" w:lineRule="auto"/>
              <w:jc w:val="center"/>
              <w:rPr>
                <w:b/>
              </w:rPr>
            </w:pPr>
            <w:r>
              <w:rPr>
                <w:b/>
                <w:bCs/>
              </w:rPr>
              <w:t>Mode of Outreach</w:t>
            </w:r>
          </w:p>
        </w:tc>
        <w:tc>
          <w:tcPr>
            <w:tcW w:w="783" w:type="pct"/>
            <w:tcBorders>
              <w:top w:val="single" w:color="auto" w:sz="4" w:space="0"/>
              <w:left w:val="single" w:color="auto" w:sz="4" w:space="0"/>
              <w:bottom w:val="single" w:color="auto" w:sz="4" w:space="0"/>
              <w:right w:val="single" w:color="auto" w:sz="4" w:space="0"/>
            </w:tcBorders>
            <w:hideMark/>
          </w:tcPr>
          <w:p>
            <w:pPr>
              <w:keepNext/>
              <w:spacing w:after="0" w:line="240" w:lineRule="auto"/>
              <w:jc w:val="center"/>
              <w:rPr>
                <w:b/>
              </w:rPr>
            </w:pPr>
            <w:r>
              <w:rPr>
                <w:b/>
                <w:bCs/>
              </w:rPr>
              <w:t>Target of Outreach</w:t>
            </w:r>
          </w:p>
        </w:tc>
        <w:tc>
          <w:tcPr>
            <w:tcW w:w="831" w:type="pct"/>
            <w:tcBorders>
              <w:top w:val="single" w:color="auto" w:sz="4" w:space="0"/>
              <w:left w:val="single" w:color="auto" w:sz="4" w:space="0"/>
              <w:bottom w:val="single" w:color="auto" w:sz="4" w:space="0"/>
              <w:right w:val="single" w:color="auto" w:sz="4" w:space="0"/>
            </w:tcBorders>
            <w:hideMark/>
          </w:tcPr>
          <w:p>
            <w:pPr>
              <w:keepNext/>
              <w:spacing w:after="0" w:line="240" w:lineRule="auto"/>
              <w:jc w:val="center"/>
              <w:rPr>
                <w:b/>
                <w:bCs/>
              </w:rPr>
            </w:pPr>
            <w:r>
              <w:rPr>
                <w:b/>
                <w:bCs/>
              </w:rPr>
              <w:t>Summary of </w:t>
            </w:r>
          </w:p>
          <w:p>
            <w:pPr>
              <w:keepNext/>
              <w:spacing w:after="0" w:line="240" w:lineRule="auto"/>
              <w:jc w:val="center"/>
              <w:rPr>
                <w:b/>
              </w:rPr>
            </w:pPr>
            <w:r>
              <w:rPr>
                <w:b/>
                <w:bCs/>
              </w:rPr>
              <w:t>response/attendance</w:t>
            </w:r>
          </w:p>
        </w:tc>
        <w:tc>
          <w:tcPr>
            <w:tcW w:w="783" w:type="pct"/>
            <w:tcBorders>
              <w:top w:val="single" w:color="auto" w:sz="4" w:space="0"/>
              <w:left w:val="single" w:color="auto" w:sz="4" w:space="0"/>
              <w:bottom w:val="single" w:color="auto" w:sz="4" w:space="0"/>
              <w:right w:val="single" w:color="auto" w:sz="4" w:space="0"/>
            </w:tcBorders>
            <w:hideMark/>
          </w:tcPr>
          <w:p>
            <w:pPr>
              <w:keepNext/>
              <w:spacing w:after="0" w:line="240" w:lineRule="auto"/>
              <w:jc w:val="center"/>
              <w:rPr>
                <w:b/>
                <w:bCs/>
              </w:rPr>
            </w:pPr>
            <w:r>
              <w:rPr>
                <w:b/>
                <w:bCs/>
              </w:rPr>
              <w:t>Summary of </w:t>
            </w:r>
          </w:p>
          <w:p>
            <w:pPr>
              <w:keepNext/>
              <w:spacing w:after="0" w:line="240" w:lineRule="auto"/>
              <w:jc w:val="center"/>
              <w:rPr>
                <w:b/>
              </w:rPr>
            </w:pPr>
            <w:r>
              <w:rPr>
                <w:b/>
                <w:bCs/>
              </w:rPr>
              <w:t>comments received</w:t>
            </w:r>
          </w:p>
        </w:tc>
        <w:tc>
          <w:tcPr>
            <w:tcW w:w="783" w:type="pct"/>
            <w:tcBorders>
              <w:top w:val="single" w:color="auto" w:sz="4" w:space="0"/>
              <w:left w:val="single" w:color="auto" w:sz="4" w:space="0"/>
              <w:bottom w:val="single" w:color="auto" w:sz="4" w:space="0"/>
              <w:right w:val="single" w:color="auto" w:sz="4" w:space="0"/>
            </w:tcBorders>
            <w:hideMark/>
          </w:tcPr>
          <w:p>
            <w:pPr>
              <w:keepNext/>
              <w:spacing w:after="0" w:line="240" w:lineRule="auto"/>
              <w:jc w:val="center"/>
              <w:rPr>
                <w:b/>
              </w:rPr>
            </w:pPr>
            <w:r>
              <w:rPr>
                <w:b/>
                <w:bCs/>
              </w:rPr>
              <w:t>Summary of comments not accepted and reasons</w:t>
            </w:r>
          </w:p>
        </w:tc>
        <w:tc>
          <w:tcPr>
            <w:tcW w:w="740" w:type="pct"/>
            <w:tcBorders>
              <w:top w:val="single" w:color="auto" w:sz="4" w:space="0"/>
              <w:left w:val="single" w:color="auto" w:sz="4" w:space="0"/>
              <w:bottom w:val="single" w:color="auto" w:sz="4" w:space="0"/>
              <w:right w:val="single" w:color="auto" w:sz="4" w:space="0"/>
            </w:tcBorders>
            <w:hideMark/>
          </w:tcPr>
          <w:p>
            <w:pPr>
              <w:keepNext/>
              <w:spacing w:after="0" w:line="240" w:lineRule="auto"/>
              <w:jc w:val="center"/>
              <w:rPr>
                <w:b/>
              </w:rPr>
            </w:pPr>
            <w:r>
              <w:rPr>
                <w:b/>
                <w:bCs/>
              </w:rPr>
              <w:t>URL (If applicable)</w:t>
            </w:r>
          </w:p>
        </w:tc>
      </w:tr>
      <w:tr>
        <w:trPr>
          <w:cantSplit/>
        </w:trPr>
        <w:tc>
          <w:tcPr>
            <w:tcW w:w="540" w:type="pct"/>
            <w:tcBorders>
              <w:top w:val="single" w:color="auto" w:sz="4" w:space="0"/>
              <w:left w:val="single" w:color="auto" w:sz="4" w:space="0"/>
              <w:bottom w:val="single" w:color="auto" w:sz="4" w:space="0"/>
              <w:right w:val="single" w:color="auto" w:sz="4" w:space="0"/>
            </w:tcBorders>
          </w:tcPr>
          <w:p>
            <w:pPr>
              <w:keepNext/>
              <w:spacing w:after="0" w:line="240" w:lineRule="auto"/>
            </w:pPr>
          </w:p>
        </w:tc>
        <w:tc>
          <w:tcPr>
            <w:tcW w:w="540" w:type="pct"/>
            <w:tcBorders>
              <w:top w:val="single" w:color="auto" w:sz="4" w:space="0"/>
              <w:left w:val="single" w:color="auto" w:sz="4" w:space="0"/>
              <w:bottom w:val="single" w:color="auto" w:sz="4" w:space="0"/>
              <w:right w:val="single" w:color="auto" w:sz="4" w:space="0"/>
            </w:tcBorders>
          </w:tcPr>
          <w:p>
            <w:pPr>
              <w:keepNext/>
              <w:spacing w:after="0" w:line="240" w:lineRule="auto"/>
            </w:pPr>
          </w:p>
        </w:tc>
        <w:tc>
          <w:tcPr>
            <w:tcW w:w="783" w:type="pct"/>
            <w:tcBorders>
              <w:top w:val="single" w:color="auto" w:sz="4" w:space="0"/>
              <w:left w:val="single" w:color="auto" w:sz="4" w:space="0"/>
              <w:bottom w:val="single" w:color="auto" w:sz="4" w:space="0"/>
              <w:right w:val="single" w:color="auto" w:sz="4" w:space="0"/>
            </w:tcBorders>
          </w:tcPr>
          <w:p>
            <w:pPr>
              <w:keepNext/>
              <w:spacing w:after="0" w:line="240" w:lineRule="auto"/>
            </w:pPr>
          </w:p>
        </w:tc>
        <w:tc>
          <w:tcPr>
            <w:tcW w:w="831" w:type="pct"/>
            <w:tcBorders>
              <w:top w:val="single" w:color="auto" w:sz="4" w:space="0"/>
              <w:left w:val="single" w:color="auto" w:sz="4" w:space="0"/>
              <w:bottom w:val="single" w:color="auto" w:sz="4" w:space="0"/>
              <w:right w:val="single" w:color="auto" w:sz="4" w:space="0"/>
            </w:tcBorders>
          </w:tcPr>
          <w:p>
            <w:pPr>
              <w:keepNext/>
              <w:spacing w:after="0" w:line="240" w:lineRule="auto"/>
            </w:pPr>
          </w:p>
        </w:tc>
        <w:tc>
          <w:tcPr>
            <w:tcW w:w="783" w:type="pct"/>
            <w:tcBorders>
              <w:top w:val="single" w:color="auto" w:sz="4" w:space="0"/>
              <w:left w:val="single" w:color="auto" w:sz="4" w:space="0"/>
              <w:bottom w:val="single" w:color="auto" w:sz="4" w:space="0"/>
              <w:right w:val="single" w:color="auto" w:sz="4" w:space="0"/>
            </w:tcBorders>
          </w:tcPr>
          <w:p>
            <w:pPr>
              <w:keepNext/>
              <w:spacing w:after="0" w:line="240" w:lineRule="auto"/>
            </w:pPr>
          </w:p>
        </w:tc>
        <w:tc>
          <w:tcPr>
            <w:tcW w:w="783" w:type="pct"/>
            <w:tcBorders>
              <w:top w:val="single" w:color="auto" w:sz="4" w:space="0"/>
              <w:left w:val="single" w:color="auto" w:sz="4" w:space="0"/>
              <w:bottom w:val="single" w:color="auto" w:sz="4" w:space="0"/>
              <w:right w:val="single" w:color="auto" w:sz="4" w:space="0"/>
            </w:tcBorders>
          </w:tcPr>
          <w:p>
            <w:pPr>
              <w:keepNext/>
              <w:spacing w:after="0" w:line="240" w:lineRule="auto"/>
            </w:pPr>
          </w:p>
        </w:tc>
        <w:tc>
          <w:tcPr>
            <w:tcW w:w="740" w:type="pct"/>
            <w:tcBorders>
              <w:top w:val="single" w:color="auto" w:sz="4" w:space="0"/>
              <w:left w:val="single" w:color="auto" w:sz="4" w:space="0"/>
              <w:bottom w:val="single" w:color="auto" w:sz="4" w:space="0"/>
              <w:right w:val="single" w:color="auto" w:sz="4" w:space="0"/>
            </w:tcBorders>
          </w:tcPr>
          <w:p>
            <w:pPr>
              <w:keepNext/>
              <w:spacing w:after="0" w:line="240" w:lineRule="auto"/>
            </w:pP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4</w:t>
        <w:fldChar w:fldCharType="end"/>
        <w:t xml:space="preserve"> – Citizen Participation Outreach</w:t>
      </w:r>
      <w:r>
        <w:rPr>
          <w:rFonts w:asciiTheme="minorHAnsi" w:hAnsiTheme="minorHAnsi"/>
          <w:sz w:val="32"/>
          <w:szCs w:val="32"/>
        </w:rPr>
        <w:br w:type="page"/>
      </w:r>
    </w:p>
    <w:p>
      <w:pPr>
        <w:jc w:val="center"/>
        <w:rPr>
          <w:b/>
          <w:sz w:val="32"/>
          <w:szCs w:val="32"/>
        </w:rPr>
        <w:sectPr>
          <w:footerReference r:id="rId14" w:type="default"/>
          <w:pgSz w:w="15840" w:h="12240" w:orient="landscape" w:code="1"/>
          <w:pgMar w:top="1440" w:right="1440" w:bottom="1440" w:left="1440" w:header="720" w:footer="720" w:gutter="0"/>
          <w:cols w:space="720"/>
          <w:docGrid w:linePitch="360"/>
        </w:sectPr>
      </w:pPr>
    </w:p>
    <w:p>
      <w:pPr>
        <w:pStyle w:val="Heading1"/>
        <w:pageBreakBefore/>
        <w:jc w:val="center"/>
        <w:rPr>
          <w:rFonts w:ascii="Calibri" w:hAnsi="Calibri"/>
          <w:color w:val="auto"/>
          <w:sz w:val="32"/>
          <w:szCs w:val="32"/>
        </w:rPr>
      </w:pPr>
      <w:r>
        <w:rPr>
          <w:rFonts w:ascii="Calibri" w:hAnsi="Calibri"/>
          <w:color w:val="auto"/>
          <w:sz w:val="32"/>
          <w:szCs w:val="32"/>
        </w:rPr>
        <w:t>Expected Resources</w:t>
      </w:r>
    </w:p>
    <w:p>
      <w:pPr>
        <w:pStyle w:val="Heading2"/>
        <w:rPr>
          <w:rFonts w:ascii="Calibri" w:hAnsi="Calibri"/>
          <w:i w:val="false"/>
        </w:rPr>
      </w:pPr>
      <w:r>
        <w:rPr>
          <w:rFonts w:ascii="Calibri" w:hAnsi="Calibri"/>
          <w:i w:val="false"/>
        </w:rPr>
        <w:t>AP-15 Expected Resources - 91.420(b), 91.220(c)(1,2)</w:t>
      </w:r>
    </w:p>
    <w:p>
      <w:pPr>
        <w:keepNext/>
        <w:widowControl w:val="false"/>
        <w:spacing w:line="204" w:lineRule="auto"/>
        <w:rPr>
          <w:b/>
          <w:sz w:val="28"/>
          <w:szCs w:val="28"/>
        </w:rPr>
      </w:pPr>
      <w:r>
        <w:rPr>
          <w:b/>
          <w:sz w:val="24"/>
          <w:szCs w:val="24"/>
        </w:rPr>
        <w:t>Introduction</w:t>
      </w:r>
    </w:p>
    <w:p>
      <w:pPr>
        <w:keepNext/>
        <w:widowControl w:val="false"/>
        <w:spacing w:beforeAutospacing="true" w:afterAutospacing="true"/>
        <w:rPr>
          <w:b/>
          <w:sz w:val="24"/>
          <w:szCs w:val="24"/>
        </w:rPr>
      </w:pPr>
      <w:r>
        <w:rPr/>
        <w:t xml:space="preserve">Listed below are the listing of the resources of CDBG funds allocated to the Urban County, the HOME allocated to the Consortium of Salt Lake County, and the ESG funds allocated to Salt Lake County.</w:t>
      </w:r>
    </w:p>
    <w:p>
      <w:pPr>
        <w:keepNext/>
        <w:widowControl w:val="false"/>
        <w:spacing w:beforeAutospacing="true" w:afterAutospacing="true"/>
        <w:rPr>
          <w:b/>
          <w:sz w:val="24"/>
          <w:szCs w:val="24"/>
        </w:rPr>
      </w:pPr>
    </w:p>
    <w:p>
      <w:pPr>
        <w:keepNext/>
        <w:widowControl w:val="false"/>
        <w:rPr>
          <w:b/>
          <w:sz w:val="24"/>
          <w:szCs w:val="24"/>
        </w:rPr>
      </w:pPr>
      <w:r>
        <w:rPr>
          <w:b/>
          <w:sz w:val="24"/>
          <w:szCs w:val="24"/>
        </w:rPr>
        <w:t>Anticipated Resources</w:t>
      </w:r>
    </w:p>
    <w:tbl>
      <w:tblPr>
        <w:tblW w:w="5000"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808"/>
        <w:gridCol w:w="827"/>
        <w:gridCol w:w="1953"/>
        <w:gridCol w:w="1215"/>
        <w:gridCol w:w="1271"/>
        <w:gridCol w:w="1271"/>
        <w:gridCol w:w="1090"/>
        <w:gridCol w:w="1271"/>
        <w:gridCol w:w="2470"/>
      </w:tblGrid>
      <w:tr>
        <w:trPr>
          <w:cantSplit/>
          <w:tblHeader/>
        </w:trPr>
        <w:tc>
          <w:tcPr>
            <w:tcW w:w="1793" w:type="dxa"/>
            <w:vMerge w:val="restart"/>
          </w:tcPr>
          <w:p>
            <w:pPr>
              <w:keepNext/>
              <w:widowControl w:val="false"/>
              <w:spacing w:after="0" w:line="240" w:lineRule="auto"/>
              <w:jc w:val="center"/>
              <w:rPr>
                <w:b/>
                <w:sz w:val="24"/>
                <w:szCs w:val="24"/>
              </w:rPr>
            </w:pPr>
            <w:r>
              <w:rPr>
                <w:b/>
                <w:sz w:val="20"/>
                <w:szCs w:val="20"/>
              </w:rPr>
              <w:t>Program</w:t>
            </w:r>
          </w:p>
        </w:tc>
        <w:tc>
          <w:tcPr>
            <w:tcW w:w="820" w:type="dxa"/>
            <w:vMerge w:val="restart"/>
          </w:tcPr>
          <w:p>
            <w:pPr>
              <w:keepNext/>
              <w:widowControl w:val="false"/>
              <w:spacing w:after="0" w:line="240" w:lineRule="auto"/>
              <w:jc w:val="center"/>
              <w:rPr>
                <w:b/>
                <w:sz w:val="24"/>
                <w:szCs w:val="24"/>
              </w:rPr>
            </w:pPr>
            <w:r>
              <w:rPr>
                <w:b/>
                <w:sz w:val="20"/>
                <w:szCs w:val="20"/>
              </w:rPr>
              <w:t>Source of Funds</w:t>
            </w:r>
          </w:p>
        </w:tc>
        <w:tc>
          <w:tcPr>
            <w:tcW w:w="1936" w:type="dxa"/>
            <w:vMerge w:val="restart"/>
          </w:tcPr>
          <w:p>
            <w:pPr>
              <w:keepNext/>
              <w:widowControl w:val="false"/>
              <w:spacing w:after="0" w:line="240" w:lineRule="auto"/>
              <w:jc w:val="center"/>
              <w:rPr>
                <w:b/>
                <w:sz w:val="24"/>
                <w:szCs w:val="24"/>
              </w:rPr>
            </w:pPr>
            <w:r>
              <w:rPr>
                <w:b/>
                <w:sz w:val="20"/>
                <w:szCs w:val="20"/>
              </w:rPr>
              <w:t>Uses of Funds</w:t>
            </w:r>
          </w:p>
        </w:tc>
        <w:tc>
          <w:tcPr>
            <w:tcW w:w="4804" w:type="dxa"/>
            <w:gridSpan w:val="4"/>
          </w:tcPr>
          <w:p>
            <w:pPr>
              <w:keepNext/>
              <w:widowControl w:val="false"/>
              <w:spacing w:after="0" w:line="240" w:lineRule="auto"/>
              <w:jc w:val="center"/>
              <w:rPr>
                <w:b/>
                <w:sz w:val="24"/>
                <w:szCs w:val="24"/>
              </w:rPr>
            </w:pPr>
            <w:r>
              <w:rPr>
                <w:b/>
                <w:bCs/>
                <w:sz w:val="20"/>
                <w:szCs w:val="20"/>
              </w:rPr>
              <w:t>Expected Amount Available Year 1</w:t>
            </w:r>
          </w:p>
        </w:tc>
        <w:tc>
          <w:tcPr>
            <w:tcW w:w="1260" w:type="dxa"/>
            <w:vMerge w:val="restart"/>
          </w:tcPr>
          <w:p>
            <w:pPr>
              <w:keepNext/>
              <w:widowControl w:val="false"/>
              <w:spacing w:after="0" w:line="240" w:lineRule="auto"/>
              <w:jc w:val="center"/>
              <w:rPr>
                <w:b/>
                <w:sz w:val="20"/>
                <w:szCs w:val="20"/>
              </w:rPr>
            </w:pPr>
            <w:r>
              <w:rPr>
                <w:b/>
                <w:sz w:val="20"/>
                <w:szCs w:val="20"/>
              </w:rPr>
              <w:t xml:space="preserve">Expected Amount Available Remainder of ConPlan </w:t>
            </w:r>
          </w:p>
          <w:p>
            <w:pPr>
              <w:keepNext/>
              <w:widowControl w:val="false"/>
              <w:spacing w:after="0" w:line="240" w:lineRule="auto"/>
              <w:jc w:val="center"/>
              <w:rPr>
                <w:b/>
                <w:sz w:val="24"/>
                <w:szCs w:val="24"/>
              </w:rPr>
            </w:pPr>
            <w:r>
              <w:rPr>
                <w:b/>
                <w:sz w:val="20"/>
                <w:szCs w:val="20"/>
              </w:rPr>
              <w:t>$</w:t>
            </w:r>
          </w:p>
        </w:tc>
        <w:tc>
          <w:tcPr>
            <w:tcW w:w="2448" w:type="dxa"/>
            <w:vMerge w:val="restart"/>
          </w:tcPr>
          <w:p>
            <w:pPr>
              <w:keepNext/>
              <w:widowControl w:val="false"/>
              <w:spacing w:after="0" w:line="240" w:lineRule="auto"/>
              <w:jc w:val="center"/>
              <w:rPr>
                <w:b/>
                <w:sz w:val="24"/>
                <w:szCs w:val="24"/>
              </w:rPr>
            </w:pPr>
            <w:r>
              <w:rPr>
                <w:b/>
                <w:sz w:val="20"/>
                <w:szCs w:val="20"/>
              </w:rPr>
              <w:t>Narrative Description</w:t>
            </w:r>
          </w:p>
        </w:tc>
      </w:tr>
      <w:tr>
        <w:trPr>
          <w:cantSplit/>
          <w:tblHeader/>
        </w:trPr>
        <w:tc>
          <w:tcPr>
            <w:tcW w:w="1793" w:type="dxa"/>
            <w:vMerge/>
          </w:tcPr>
          <w:p>
            <w:pPr>
              <w:keepNext/>
              <w:widowControl w:val="false"/>
              <w:spacing w:after="0" w:line="240" w:lineRule="auto"/>
              <w:jc w:val="center"/>
              <w:rPr>
                <w:b/>
                <w:sz w:val="24"/>
                <w:szCs w:val="24"/>
              </w:rPr>
            </w:pPr>
          </w:p>
        </w:tc>
        <w:tc>
          <w:tcPr>
            <w:tcW w:w="820" w:type="dxa"/>
            <w:vMerge/>
          </w:tcPr>
          <w:p>
            <w:pPr>
              <w:keepNext/>
              <w:widowControl w:val="false"/>
              <w:spacing w:after="0" w:line="240" w:lineRule="auto"/>
              <w:jc w:val="center"/>
              <w:rPr>
                <w:b/>
                <w:sz w:val="24"/>
                <w:szCs w:val="24"/>
              </w:rPr>
            </w:pPr>
          </w:p>
        </w:tc>
        <w:tc>
          <w:tcPr>
            <w:tcW w:w="1936" w:type="dxa"/>
            <w:vMerge/>
          </w:tcPr>
          <w:p>
            <w:pPr>
              <w:keepNext/>
              <w:widowControl w:val="false"/>
              <w:spacing w:after="0" w:line="240" w:lineRule="auto"/>
              <w:jc w:val="center"/>
              <w:rPr>
                <w:b/>
                <w:sz w:val="24"/>
                <w:szCs w:val="24"/>
              </w:rPr>
            </w:pPr>
          </w:p>
        </w:tc>
        <w:tc>
          <w:tcPr>
            <w:tcW w:w="1204" w:type="dxa"/>
          </w:tcPr>
          <w:p>
            <w:pPr>
              <w:keepNext/>
              <w:widowControl w:val="false"/>
              <w:spacing w:after="0" w:line="240" w:lineRule="auto"/>
              <w:jc w:val="center"/>
              <w:rPr>
                <w:b/>
                <w:sz w:val="24"/>
                <w:szCs w:val="24"/>
              </w:rPr>
            </w:pPr>
            <w:r>
              <w:rPr>
                <w:b/>
                <w:sz w:val="20"/>
                <w:szCs w:val="20"/>
              </w:rPr>
              <w:t>Annual Allocation: $</w:t>
            </w:r>
          </w:p>
        </w:tc>
        <w:tc>
          <w:tcPr>
            <w:tcW w:w="1260" w:type="dxa"/>
          </w:tcPr>
          <w:p>
            <w:pPr>
              <w:keepNext/>
              <w:widowControl w:val="false"/>
              <w:spacing w:after="0" w:line="240" w:lineRule="auto"/>
              <w:jc w:val="center"/>
              <w:rPr>
                <w:b/>
                <w:sz w:val="24"/>
                <w:szCs w:val="24"/>
              </w:rPr>
            </w:pPr>
            <w:r>
              <w:rPr>
                <w:b/>
                <w:sz w:val="20"/>
                <w:szCs w:val="20"/>
              </w:rPr>
              <w:t>Program Income: $</w:t>
            </w:r>
          </w:p>
        </w:tc>
        <w:tc>
          <w:tcPr>
            <w:tcW w:w="1260" w:type="dxa"/>
          </w:tcPr>
          <w:p>
            <w:pPr>
              <w:keepNext/>
              <w:widowControl w:val="false"/>
              <w:spacing w:after="0" w:line="240" w:lineRule="auto"/>
              <w:jc w:val="center"/>
              <w:rPr>
                <w:b/>
                <w:sz w:val="24"/>
                <w:szCs w:val="24"/>
              </w:rPr>
            </w:pPr>
            <w:r>
              <w:rPr>
                <w:b/>
                <w:sz w:val="20"/>
                <w:szCs w:val="20"/>
              </w:rPr>
              <w:t>Prior Year Resources: $</w:t>
            </w:r>
          </w:p>
        </w:tc>
        <w:tc>
          <w:tcPr>
            <w:tcW w:w="1080" w:type="dxa"/>
          </w:tcPr>
          <w:p>
            <w:pPr>
              <w:keepNext/>
              <w:widowControl w:val="false"/>
              <w:spacing w:after="0" w:line="240" w:lineRule="auto"/>
              <w:jc w:val="center"/>
              <w:rPr>
                <w:b/>
                <w:sz w:val="20"/>
                <w:szCs w:val="20"/>
              </w:rPr>
            </w:pPr>
            <w:r>
              <w:rPr>
                <w:b/>
                <w:sz w:val="20"/>
                <w:szCs w:val="20"/>
              </w:rPr>
              <w:t>Total:</w:t>
            </w:r>
          </w:p>
          <w:p>
            <w:pPr>
              <w:keepNext/>
              <w:widowControl w:val="false"/>
              <w:spacing w:after="0" w:line="240" w:lineRule="auto"/>
              <w:jc w:val="center"/>
              <w:rPr>
                <w:b/>
                <w:sz w:val="24"/>
                <w:szCs w:val="24"/>
              </w:rPr>
            </w:pPr>
            <w:r>
              <w:rPr>
                <w:b/>
                <w:sz w:val="20"/>
                <w:szCs w:val="20"/>
              </w:rPr>
              <w:t>$</w:t>
            </w:r>
          </w:p>
        </w:tc>
        <w:tc>
          <w:tcPr>
            <w:tcW w:w="1260" w:type="dxa"/>
            <w:vMerge/>
          </w:tcPr>
          <w:p>
            <w:pPr>
              <w:keepNext/>
              <w:widowControl w:val="false"/>
              <w:spacing w:after="0" w:line="240" w:lineRule="auto"/>
              <w:jc w:val="center"/>
              <w:rPr>
                <w:b/>
                <w:sz w:val="24"/>
                <w:szCs w:val="24"/>
              </w:rPr>
            </w:pPr>
          </w:p>
        </w:tc>
        <w:tc>
          <w:tcPr>
            <w:tcW w:w="2448" w:type="dxa"/>
            <w:vMerge/>
          </w:tcPr>
          <w:p>
            <w:pPr>
              <w:keepNext/>
              <w:widowControl w:val="false"/>
              <w:spacing w:after="0" w:line="240" w:lineRule="auto"/>
              <w:jc w:val="center"/>
              <w:rPr>
                <w:b/>
                <w:sz w:val="24"/>
                <w:szCs w:val="24"/>
              </w:rPr>
            </w:pPr>
          </w:p>
        </w:tc>
      </w:tr>
      <w:tr>
        <w:trPr>
          <w:cantSplit w:val="true"/>
        </w:trPr>
        <w:tc>
          <w:tcPr>
            <w:vAlign w:val="top"/>
          </w:tcPr>
          <w:p>
            <w:pPr>
              <w:spacing w:beforeAutospacing="true" w:afterAutospacing="true"/>
              <w:jc w:val="left"/>
            </w:pPr>
            <w:r>
              <w:rPr>
                <w:rFonts w:ascii="Calibri" w:hAnsi="Calibri"/>
                <w:color w:val="000000"/>
                <w:sz w:val="22"/>
              </w:rPr>
              <w:t xml:space="preserve">CDBG</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Acquisition</w:t>
            </w:r>
            <w:r>
              <w:rPr>
                <w:rFonts w:ascii="Calibri" w:hAnsi="Calibri"/>
                <w:color w:val="000000"/>
                <w:sz w:val="22"/>
              </w:rPr>
              <w:br/>
              <w:t xml:space="preserve"/>
            </w:r>
            <w:r>
              <w:rPr>
                <w:rFonts w:ascii="Calibri" w:hAnsi="Calibri"/>
                <w:color w:val="000000"/>
                <w:sz w:val="22"/>
              </w:rPr>
              <w:t xml:space="preserve">Admin and Planning</w:t>
            </w:r>
            <w:r>
              <w:rPr>
                <w:rFonts w:ascii="Calibri" w:hAnsi="Calibri"/>
                <w:color w:val="000000"/>
                <w:sz w:val="22"/>
              </w:rPr>
              <w:br/>
              <w:t xml:space="preserve"/>
            </w:r>
            <w:r>
              <w:rPr>
                <w:rFonts w:ascii="Calibri" w:hAnsi="Calibri"/>
                <w:color w:val="000000"/>
                <w:sz w:val="22"/>
              </w:rPr>
              <w:t xml:space="preserve">Economic Development</w:t>
            </w:r>
            <w:r>
              <w:rPr>
                <w:rFonts w:ascii="Calibri" w:hAnsi="Calibri"/>
                <w:color w:val="000000"/>
                <w:sz w:val="22"/>
              </w:rPr>
              <w:br/>
              <w:t xml:space="preserve"/>
            </w:r>
            <w:r>
              <w:rPr>
                <w:rFonts w:ascii="Calibri" w:hAnsi="Calibri"/>
                <w:color w:val="000000"/>
                <w:sz w:val="22"/>
              </w:rPr>
              <w:t xml:space="preserve">Housing</w:t>
            </w:r>
            <w:r>
              <w:rPr>
                <w:rFonts w:ascii="Calibri" w:hAnsi="Calibri"/>
                <w:color w:val="000000"/>
                <w:sz w:val="22"/>
              </w:rPr>
              <w:br/>
              <w:t xml:space="preserve"/>
            </w:r>
            <w:r>
              <w:rPr>
                <w:rFonts w:ascii="Calibri" w:hAnsi="Calibri"/>
                <w:color w:val="000000"/>
                <w:sz w:val="22"/>
              </w:rPr>
              <w:t xml:space="preserve">Public Improvements</w:t>
            </w:r>
            <w:r>
              <w:rPr>
                <w:rFonts w:ascii="Calibri" w:hAnsi="Calibri"/>
                <w:color w:val="000000"/>
                <w:sz w:val="22"/>
              </w:rPr>
              <w:br/>
              <w:t xml:space="preserve"/>
            </w:r>
            <w:r>
              <w:rPr>
                <w:rFonts w:ascii="Calibri" w:hAnsi="Calibri"/>
                <w:color w:val="000000"/>
                <w:sz w:val="22"/>
              </w:rPr>
              <w:t xml:space="preserve">Public Services</w:t>
            </w:r>
          </w:p>
        </w:tc>
        <w:tc>
          <w:tcPr>
            <w:vAlign w:val="bottom"/>
          </w:tcPr>
          <w:p>
            <w:pPr>
              <w:spacing w:beforeAutospacing="true" w:afterAutospacing="true"/>
              <w:jc w:val="right"/>
            </w:pPr>
            <w:r>
              <w:rPr>
                <w:rFonts w:ascii="Calibri" w:hAnsi="Calibri"/>
                <w:color w:val="000000"/>
                <w:sz w:val="22"/>
              </w:rPr>
              <w:t xml:space="preserve">2,528,574</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276,216</w:t>
            </w:r>
          </w:p>
        </w:tc>
        <w:tc>
          <w:tcPr>
            <w:vAlign w:val="bottom"/>
          </w:tcPr>
          <w:p>
            <w:pPr>
              <w:spacing w:beforeAutospacing="true" w:afterAutospacing="true"/>
              <w:jc w:val="right"/>
            </w:pPr>
            <w:r>
              <w:rPr>
                <w:rFonts w:ascii="Calibri" w:hAnsi="Calibri"/>
                <w:color w:val="000000"/>
                <w:sz w:val="22"/>
              </w:rPr>
              <w:t xml:space="preserve">2,804,790</w:t>
            </w:r>
          </w:p>
        </w:tc>
        <w:tc>
          <w:tcPr>
            <w:vAlign w:val="bottom"/>
          </w:tcPr>
          <w:p>
            <w:pPr>
              <w:spacing w:beforeAutospacing="true" w:afterAutospacing="true"/>
              <w:jc w:val="right"/>
            </w:pPr>
            <w:r>
              <w:rPr>
                <w:rFonts w:ascii="Calibri" w:hAnsi="Calibri"/>
                <w:color w:val="000000"/>
                <w:sz w:val="22"/>
              </w:rPr>
              <w:t xml:space="preserve">0</w:t>
            </w:r>
          </w:p>
        </w:tc>
        <w:tc>
          <w:tcPr>
            <w:vAlign w:val="top"/>
          </w:tcPr>
          <w:p>
            <w:pPr>
              <w:spacing w:beforeAutospacing="true" w:afterAutospacing="true"/>
              <w:jc w:val="left"/>
            </w:pPr>
            <w:r>
              <w:rPr>
                <w:rFonts w:ascii="Calibri" w:hAnsi="Calibri"/>
                <w:color w:val="000000"/>
                <w:sz w:val="22"/>
              </w:rPr>
              <w:t xml:space="preserve">  </w:t>
            </w:r>
          </w:p>
        </w:tc>
      </w:tr>
      <w:tr>
        <w:trPr>
          <w:cantSplit w:val="true"/>
        </w:trPr>
        <w:tc>
          <w:tcPr>
            <w:vAlign w:val="top"/>
          </w:tcPr>
          <w:p>
            <w:pPr>
              <w:spacing w:beforeAutospacing="true" w:afterAutospacing="true"/>
              <w:jc w:val="left"/>
            </w:pPr>
            <w:r>
              <w:rPr>
                <w:rFonts w:ascii="Calibri" w:hAnsi="Calibri"/>
                <w:color w:val="000000"/>
                <w:sz w:val="22"/>
              </w:rPr>
              <w:t xml:space="preserve">HOME</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Acquisition</w:t>
            </w:r>
            <w:r>
              <w:rPr>
                <w:rFonts w:ascii="Calibri" w:hAnsi="Calibri"/>
                <w:color w:val="000000"/>
                <w:sz w:val="22"/>
              </w:rPr>
              <w:br/>
              <w:t xml:space="preserve"/>
            </w:r>
            <w:r>
              <w:rPr>
                <w:rFonts w:ascii="Calibri" w:hAnsi="Calibri"/>
                <w:color w:val="000000"/>
                <w:sz w:val="22"/>
              </w:rPr>
              <w:t xml:space="preserve">Homebuyer assistance</w:t>
            </w:r>
            <w:r>
              <w:rPr>
                <w:rFonts w:ascii="Calibri" w:hAnsi="Calibri"/>
                <w:color w:val="000000"/>
                <w:sz w:val="22"/>
              </w:rPr>
              <w:br/>
              <w:t xml:space="preserve"/>
            </w:r>
            <w:r>
              <w:rPr>
                <w:rFonts w:ascii="Calibri" w:hAnsi="Calibri"/>
                <w:color w:val="000000"/>
                <w:sz w:val="22"/>
              </w:rPr>
              <w:t xml:space="preserve">Homeowner rehab</w:t>
            </w:r>
            <w:r>
              <w:rPr>
                <w:rFonts w:ascii="Calibri" w:hAnsi="Calibri"/>
                <w:color w:val="000000"/>
                <w:sz w:val="22"/>
              </w:rPr>
              <w:br/>
              <w:t xml:space="preserve"/>
            </w:r>
            <w:r>
              <w:rPr>
                <w:rFonts w:ascii="Calibri" w:hAnsi="Calibri"/>
                <w:color w:val="000000"/>
                <w:sz w:val="22"/>
              </w:rPr>
              <w:t xml:space="preserve">Multifamily rental new construction</w:t>
            </w:r>
            <w:r>
              <w:rPr>
                <w:rFonts w:ascii="Calibri" w:hAnsi="Calibri"/>
                <w:color w:val="000000"/>
                <w:sz w:val="22"/>
              </w:rPr>
              <w:br/>
              <w:t xml:space="preserve"/>
            </w:r>
            <w:r>
              <w:rPr>
                <w:rFonts w:ascii="Calibri" w:hAnsi="Calibri"/>
                <w:color w:val="000000"/>
                <w:sz w:val="22"/>
              </w:rPr>
              <w:t xml:space="preserve">Multifamily rental rehab</w:t>
            </w:r>
            <w:r>
              <w:rPr>
                <w:rFonts w:ascii="Calibri" w:hAnsi="Calibri"/>
                <w:color w:val="000000"/>
                <w:sz w:val="22"/>
              </w:rPr>
              <w:br/>
              <w:t xml:space="preserve"/>
            </w:r>
            <w:r>
              <w:rPr>
                <w:rFonts w:ascii="Calibri" w:hAnsi="Calibri"/>
                <w:color w:val="000000"/>
                <w:sz w:val="22"/>
              </w:rPr>
              <w:t xml:space="preserve">New construction for ownership</w:t>
            </w:r>
            <w:r>
              <w:rPr>
                <w:rFonts w:ascii="Calibri" w:hAnsi="Calibri"/>
                <w:color w:val="000000"/>
                <w:sz w:val="22"/>
              </w:rPr>
              <w:br/>
              <w:t xml:space="preserve"/>
            </w:r>
            <w:r>
              <w:rPr>
                <w:rFonts w:ascii="Calibri" w:hAnsi="Calibri"/>
                <w:color w:val="000000"/>
                <w:sz w:val="22"/>
              </w:rPr>
              <w:t xml:space="preserve">TBRA</w:t>
            </w:r>
          </w:p>
        </w:tc>
        <w:tc>
          <w:tcPr>
            <w:vAlign w:val="bottom"/>
          </w:tcPr>
          <w:p>
            <w:pPr>
              <w:spacing w:beforeAutospacing="true" w:afterAutospacing="true"/>
              <w:jc w:val="right"/>
            </w:pPr>
            <w:r>
              <w:rPr>
                <w:rFonts w:ascii="Calibri" w:hAnsi="Calibri"/>
                <w:color w:val="000000"/>
                <w:sz w:val="22"/>
              </w:rPr>
              <w:t xml:space="preserve">1,754,451</w:t>
            </w:r>
          </w:p>
        </w:tc>
        <w:tc>
          <w:tcPr>
            <w:vAlign w:val="bottom"/>
          </w:tcPr>
          <w:p>
            <w:pPr>
              <w:spacing w:beforeAutospacing="true" w:afterAutospacing="true"/>
              <w:jc w:val="right"/>
            </w:pPr>
            <w:r>
              <w:rPr>
                <w:rFonts w:ascii="Calibri" w:hAnsi="Calibri"/>
                <w:color w:val="000000"/>
                <w:sz w:val="22"/>
              </w:rPr>
              <w:t xml:space="preserve">200,000</w:t>
            </w:r>
          </w:p>
        </w:tc>
        <w:tc>
          <w:tcPr>
            <w:vAlign w:val="bottom"/>
          </w:tcPr>
          <w:p>
            <w:pPr>
              <w:spacing w:beforeAutospacing="true" w:afterAutospacing="true"/>
              <w:jc w:val="right"/>
            </w:pPr>
            <w:r>
              <w:rPr>
                <w:rFonts w:ascii="Calibri" w:hAnsi="Calibri"/>
                <w:color w:val="000000"/>
                <w:sz w:val="22"/>
              </w:rPr>
              <w:t xml:space="preserve">2,216,188</w:t>
            </w:r>
          </w:p>
        </w:tc>
        <w:tc>
          <w:tcPr>
            <w:vAlign w:val="bottom"/>
          </w:tcPr>
          <w:p>
            <w:pPr>
              <w:spacing w:beforeAutospacing="true" w:afterAutospacing="true"/>
              <w:jc w:val="right"/>
            </w:pPr>
            <w:r>
              <w:rPr>
                <w:rFonts w:ascii="Calibri" w:hAnsi="Calibri"/>
                <w:color w:val="000000"/>
                <w:sz w:val="22"/>
              </w:rPr>
              <w:t xml:space="preserve">4,170,639</w:t>
            </w:r>
          </w:p>
        </w:tc>
        <w:tc>
          <w:tcPr>
            <w:vAlign w:val="bottom"/>
          </w:tcPr>
          <w:p>
            <w:pPr>
              <w:spacing w:beforeAutospacing="true" w:afterAutospacing="true"/>
              <w:jc w:val="right"/>
            </w:pPr>
            <w:r>
              <w:rPr>
                <w:rFonts w:ascii="Calibri" w:hAnsi="Calibri"/>
                <w:color w:val="000000"/>
                <w:sz w:val="22"/>
              </w:rPr>
              <w:t xml:space="preserve">0</w:t>
            </w:r>
          </w:p>
        </w:tc>
        <w:tc>
          <w:tcPr>
            <w:vAlign w:val="top"/>
          </w:tcPr>
          <w:p>
            <w:pPr>
              <w:spacing w:beforeAutospacing="true" w:afterAutospacing="true"/>
              <w:jc w:val="left"/>
            </w:pPr>
            <w:r>
              <w:rPr>
                <w:rFonts w:ascii="Calibri" w:hAnsi="Calibri"/>
                <w:color w:val="000000"/>
                <w:sz w:val="22"/>
              </w:rPr>
              <w:t xml:space="preserve">Salt Lake County has excessive overlap of match from previous years, see 2018 match report</w:t>
            </w:r>
          </w:p>
        </w:tc>
      </w:tr>
      <w:tr>
        <w:trPr>
          <w:cantSplit w:val="true"/>
        </w:trPr>
        <w:tc>
          <w:tcPr>
            <w:vAlign w:val="top"/>
          </w:tcPr>
          <w:p>
            <w:pPr>
              <w:spacing w:beforeAutospacing="true" w:afterAutospacing="true"/>
              <w:jc w:val="left"/>
            </w:pPr>
            <w:r>
              <w:rPr>
                <w:rFonts w:ascii="Calibri" w:hAnsi="Calibri"/>
                <w:color w:val="000000"/>
                <w:sz w:val="22"/>
              </w:rPr>
              <w:t xml:space="preserve">ESG</w:t>
            </w:r>
          </w:p>
        </w:tc>
        <w:tc>
          <w:tcPr>
            <w:vAlign w:val="top"/>
          </w:tcPr>
          <w:p>
            <w:pPr>
              <w:spacing w:beforeAutospacing="true" w:afterAutospacing="true"/>
              <w:jc w:val="left"/>
            </w:pPr>
            <w:r>
              <w:rPr>
                <w:rFonts w:ascii="Calibri" w:hAnsi="Calibri"/>
                <w:color w:val="000000"/>
                <w:sz w:val="22"/>
              </w:rPr>
              <w:t xml:space="preserve">public - federal</w:t>
            </w:r>
          </w:p>
        </w:tc>
        <w:tc>
          <w:tcPr>
            <w:vAlign w:val="top"/>
          </w:tcPr>
          <w:p>
            <w:pPr>
              <w:spacing w:beforeAutospacing="true" w:afterAutospacing="true"/>
              <w:jc w:val="left"/>
            </w:pPr>
            <w:r>
              <w:rPr>
                <w:rFonts w:ascii="Calibri" w:hAnsi="Calibri"/>
                <w:color w:val="000000"/>
                <w:sz w:val="22"/>
              </w:rPr>
              <w:t xml:space="preserve">Conversion and rehab for transitional housing</w:t>
            </w:r>
            <w:r>
              <w:rPr>
                <w:rFonts w:ascii="Calibri" w:hAnsi="Calibri"/>
                <w:color w:val="000000"/>
                <w:sz w:val="22"/>
              </w:rPr>
              <w:br/>
              <w:t xml:space="preserve"/>
            </w:r>
            <w:r>
              <w:rPr>
                <w:rFonts w:ascii="Calibri" w:hAnsi="Calibri"/>
                <w:color w:val="000000"/>
                <w:sz w:val="22"/>
              </w:rPr>
              <w:t xml:space="preserve">Financial Assistance</w:t>
            </w:r>
            <w:r>
              <w:rPr>
                <w:rFonts w:ascii="Calibri" w:hAnsi="Calibri"/>
                <w:color w:val="000000"/>
                <w:sz w:val="22"/>
              </w:rPr>
              <w:br/>
              <w:t xml:space="preserve"/>
            </w:r>
            <w:r>
              <w:rPr>
                <w:rFonts w:ascii="Calibri" w:hAnsi="Calibri"/>
                <w:color w:val="000000"/>
                <w:sz w:val="22"/>
              </w:rPr>
              <w:t xml:space="preserve">Overnight shelter</w:t>
            </w:r>
            <w:r>
              <w:rPr>
                <w:rFonts w:ascii="Calibri" w:hAnsi="Calibri"/>
                <w:color w:val="000000"/>
                <w:sz w:val="22"/>
              </w:rPr>
              <w:br/>
              <w:t xml:space="preserve"/>
            </w:r>
            <w:r>
              <w:rPr>
                <w:rFonts w:ascii="Calibri" w:hAnsi="Calibri"/>
                <w:color w:val="000000"/>
                <w:sz w:val="22"/>
              </w:rPr>
              <w:t xml:space="preserve">Rapid re-housing (rental assistance)</w:t>
            </w:r>
            <w:r>
              <w:rPr>
                <w:rFonts w:ascii="Calibri" w:hAnsi="Calibri"/>
                <w:color w:val="000000"/>
                <w:sz w:val="22"/>
              </w:rPr>
              <w:br/>
              <w:t xml:space="preserve"/>
            </w: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Services</w:t>
            </w:r>
            <w:r>
              <w:rPr>
                <w:rFonts w:ascii="Calibri" w:hAnsi="Calibri"/>
                <w:color w:val="000000"/>
                <w:sz w:val="22"/>
              </w:rPr>
              <w:br/>
              <w:t xml:space="preserve"/>
            </w:r>
            <w:r>
              <w:rPr>
                <w:rFonts w:ascii="Calibri" w:hAnsi="Calibri"/>
                <w:color w:val="000000"/>
                <w:sz w:val="22"/>
              </w:rPr>
              <w:t xml:space="preserve">Transitional housing</w:t>
            </w:r>
          </w:p>
        </w:tc>
        <w:tc>
          <w:tcPr>
            <w:vAlign w:val="bottom"/>
          </w:tcPr>
          <w:p>
            <w:pPr>
              <w:spacing w:beforeAutospacing="true" w:afterAutospacing="true"/>
              <w:jc w:val="right"/>
            </w:pPr>
            <w:r>
              <w:rPr>
                <w:rFonts w:ascii="Calibri" w:hAnsi="Calibri"/>
                <w:color w:val="000000"/>
                <w:sz w:val="22"/>
              </w:rPr>
              <w:t xml:space="preserve">217,817</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0</w:t>
            </w:r>
          </w:p>
        </w:tc>
        <w:tc>
          <w:tcPr>
            <w:vAlign w:val="bottom"/>
          </w:tcPr>
          <w:p>
            <w:pPr>
              <w:spacing w:beforeAutospacing="true" w:afterAutospacing="true"/>
              <w:jc w:val="right"/>
            </w:pPr>
            <w:r>
              <w:rPr>
                <w:rFonts w:ascii="Calibri" w:hAnsi="Calibri"/>
                <w:color w:val="000000"/>
                <w:sz w:val="22"/>
              </w:rPr>
              <w:t xml:space="preserve">217,817</w:t>
            </w:r>
          </w:p>
        </w:tc>
        <w:tc>
          <w:tcPr>
            <w:vAlign w:val="bottom"/>
          </w:tcPr>
          <w:p>
            <w:pPr>
              <w:spacing w:beforeAutospacing="true" w:afterAutospacing="true"/>
              <w:jc w:val="right"/>
            </w:pPr>
            <w:r>
              <w:rPr>
                <w:rFonts w:ascii="Calibri" w:hAnsi="Calibri"/>
                <w:color w:val="000000"/>
                <w:sz w:val="22"/>
              </w:rPr>
              <w:t xml:space="preserve">0</w:t>
            </w:r>
          </w:p>
        </w:tc>
        <w:tc>
          <w:tcPr>
            <w:vAlign w:val="top"/>
          </w:tcPr>
          <w:p>
            <w:pPr>
              <w:spacing w:beforeAutospacing="true" w:afterAutospacing="true"/>
              <w:jc w:val="left"/>
            </w:pPr>
            <w:r>
              <w:rPr>
                <w:rFonts w:ascii="Calibri" w:hAnsi="Calibri"/>
                <w:color w:val="000000"/>
                <w:sz w:val="22"/>
              </w:rPr>
              <w:t xml:space="preserve">  </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1</w:t>
        <w:fldChar w:fldCharType="end"/>
        <w:t xml:space="preserve"> - Expected Resources – Priority Table</w:t>
      </w:r>
    </w:p>
    <w:p>
      <w:pPr>
        <w:spacing w:after="0" w:line="240" w:lineRule="auto"/>
        <w:rPr>
          <w:b/>
          <w:sz w:val="24"/>
          <w:szCs w:val="24"/>
        </w:rPr>
      </w:pPr>
    </w:p>
    <w:p>
      <w:pPr>
        <w:widowControl w:val="false"/>
        <w:rPr>
          <w:b/>
          <w:sz w:val="24"/>
          <w:szCs w:val="24"/>
        </w:rPr>
      </w:pPr>
      <w:r>
        <w:rPr>
          <w:b/>
          <w:sz w:val="24"/>
          <w:szCs w:val="24"/>
        </w:rPr>
        <w:t>Explain how federal funds will leverage those additional resources (private, state and local funds), including a description of how matching requirements will be satisfied</w:t>
      </w:r>
    </w:p>
    <w:p>
      <w:pPr>
        <w:widowControl w:val="false"/>
        <w:spacing w:beforeAutospacing="true" w:afterAutospacing="true"/>
        <w:rPr>
          <w:szCs w:val="24"/>
        </w:rPr>
      </w:pPr>
      <w:r>
        <w:rPr/>
        <w:t xml:space="preserve">Salt Lake County provides a match from general funds for the amount of $200,000 to help meet the match requirements of the HOME Investment Partnership Program. The additional match requirement of over $750,000 from the Federal Home Loan Grant we received in 2019 to fund the retrofit of 35 homes as part of the aging in palace program.</w:t>
      </w:r>
    </w:p>
    <w:p>
      <w:pPr>
        <w:keepNext/>
        <w:widowControl w:val="false"/>
        <w:rPr>
          <w:b/>
          <w:sz w:val="24"/>
          <w:szCs w:val="24"/>
        </w:rPr>
      </w:pPr>
      <w:r>
        <w:rPr>
          <w:b/>
          <w:sz w:val="24"/>
          <w:szCs w:val="24"/>
        </w:rPr>
        <w:t>If appropriate, describe publically owned land or property located within the jurisdiction that may be used to address the needs identified in the plan</w:t>
      </w:r>
    </w:p>
    <w:p>
      <w:pPr>
        <w:keepNext/>
        <w:widowControl w:val="false"/>
        <w:spacing w:beforeAutospacing="true" w:afterAutospacing="true"/>
        <w:rPr>
          <w:szCs w:val="24"/>
        </w:rPr>
      </w:pPr>
      <w:r>
        <w:rPr/>
        <w:t xml:space="preserve">not applicable</w:t>
      </w:r>
    </w:p>
    <w:p>
      <w:pPr>
        <w:rPr>
          <w:b/>
          <w:sz w:val="24"/>
          <w:szCs w:val="24"/>
        </w:rPr>
      </w:pPr>
      <w:r>
        <w:rPr>
          <w:b/>
          <w:sz w:val="24"/>
          <w:szCs w:val="24"/>
        </w:rPr>
        <w:t>Discussion</w:t>
      </w:r>
    </w:p>
    <w:p>
      <w:pPr>
        <w:spacing w:beforeAutospacing="true" w:afterAutospacing="true"/>
      </w:pPr>
      <w:r>
        <w:rPr/>
        <w:t xml:space="preserve">The impact of COVID 19 occured at the end of the process to allocate 2020 funds. Salt Lake County will begin the implementation of the COVID 19 CDBG, ESG funding around the end of June. The plan for the use of these funds will be placed in the substantial amendment to 2019 action plan. As we better understand the impact of COVID 19 we may need to adjust the use of 2020 funding to meet critical needs caused by the impact of COVID 19</w:t>
      </w:r>
    </w:p>
    <w:p>
      <w:pPr>
        <w:pStyle w:val="Heading1"/>
        <w:pageBreakBefore/>
        <w:jc w:val="center"/>
        <w:rPr>
          <w:rFonts w:ascii="Calibri" w:hAnsi="Calibri"/>
          <w:color w:val="auto"/>
          <w:sz w:val="32"/>
          <w:szCs w:val="32"/>
        </w:rPr>
      </w:pPr>
      <w:r>
        <w:rPr>
          <w:rFonts w:ascii="Calibri" w:hAnsi="Calibri"/>
          <w:color w:val="auto"/>
          <w:sz w:val="32"/>
          <w:szCs w:val="32"/>
        </w:rPr>
        <w:t>Annual Goals and Objectives</w:t>
      </w:r>
    </w:p>
    <w:p>
      <w:pPr>
        <w:rPr>
          <w:b/>
          <w:sz w:val="28"/>
          <w:szCs w:val="28"/>
        </w:rPr>
      </w:pPr>
      <w:r>
        <w:rPr>
          <w:b/>
          <w:sz w:val="28"/>
          <w:szCs w:val="28"/>
        </w:rPr>
        <w:t>AP-20 Annual Goals and Objectives - 91.420, 91.220(c)(3)&amp;(e)</w:t>
      </w:r>
    </w:p>
    <w:p>
      <w:pPr>
        <w:keepNext/>
        <w:widowControl w:val="false"/>
        <w:rPr>
          <w:b/>
          <w:sz w:val="24"/>
          <w:szCs w:val="24"/>
        </w:rPr>
      </w:pPr>
      <w:r>
        <w:rPr>
          <w:b/>
          <w:sz w:val="24"/>
          <w:szCs w:val="24"/>
        </w:rPr>
        <w:t xml:space="preserve">Goals Summary Information </w:t>
      </w:r>
    </w:p>
    <w:tbl>
      <w:tblPr>
        <w:tblW w:w="5342" w:type="pc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1795"/>
        <w:gridCol w:w="1796"/>
        <w:gridCol w:w="620"/>
        <w:gridCol w:w="591"/>
        <w:gridCol w:w="1233"/>
        <w:gridCol w:w="1286"/>
        <w:gridCol w:w="1171"/>
        <w:gridCol w:w="2328"/>
        <w:gridCol w:w="3257"/>
      </w:tblGrid>
      <w:tr>
        <w:trPr>
          <w:cantSplit/>
          <w:trHeight w:val="486"/>
          <w:tblHeader/>
        </w:trPr>
        <w:tc>
          <w:tcPr>
            <w:tcW w:w="1808" w:type="dxa"/>
          </w:tcPr>
          <w:p>
            <w:pPr>
              <w:keepNext/>
              <w:widowControl w:val="false"/>
              <w:spacing w:after="0" w:line="240" w:lineRule="auto"/>
              <w:jc w:val="center"/>
              <w:rPr>
                <w:b/>
                <w:sz w:val="20"/>
                <w:szCs w:val="20"/>
              </w:rPr>
            </w:pPr>
            <w:r>
              <w:rPr>
                <w:b/>
                <w:sz w:val="20"/>
                <w:szCs w:val="20"/>
              </w:rPr>
              <w:t>Sort Order</w:t>
            </w:r>
          </w:p>
        </w:tc>
        <w:tc>
          <w:tcPr>
            <w:tcW w:w="1809" w:type="dxa"/>
          </w:tcPr>
          <w:p>
            <w:pPr>
              <w:keepNext/>
              <w:widowControl w:val="false"/>
              <w:spacing w:after="0" w:line="240" w:lineRule="auto"/>
              <w:jc w:val="center"/>
              <w:rPr>
                <w:b/>
                <w:sz w:val="20"/>
                <w:szCs w:val="20"/>
              </w:rPr>
            </w:pPr>
            <w:r>
              <w:rPr>
                <w:b/>
                <w:sz w:val="20"/>
                <w:szCs w:val="20"/>
              </w:rPr>
              <w:t>Goal Name</w:t>
            </w:r>
          </w:p>
        </w:tc>
        <w:tc>
          <w:tcPr>
            <w:tcW w:w="582" w:type="dxa"/>
          </w:tcPr>
          <w:p>
            <w:pPr>
              <w:keepNext/>
              <w:widowControl w:val="false"/>
              <w:spacing w:after="0" w:line="240" w:lineRule="auto"/>
              <w:jc w:val="center"/>
              <w:rPr>
                <w:b/>
                <w:sz w:val="20"/>
                <w:szCs w:val="20"/>
              </w:rPr>
            </w:pPr>
            <w:r>
              <w:rPr>
                <w:b/>
                <w:sz w:val="20"/>
                <w:szCs w:val="20"/>
              </w:rPr>
              <w:t>Start Year</w:t>
            </w:r>
          </w:p>
        </w:tc>
        <w:tc>
          <w:tcPr>
            <w:tcW w:w="555" w:type="dxa"/>
          </w:tcPr>
          <w:p>
            <w:pPr>
              <w:keepNext/>
              <w:widowControl w:val="false"/>
              <w:spacing w:after="0" w:line="240" w:lineRule="auto"/>
              <w:jc w:val="center"/>
              <w:rPr>
                <w:b/>
                <w:sz w:val="20"/>
                <w:szCs w:val="20"/>
              </w:rPr>
            </w:pPr>
            <w:r>
              <w:rPr>
                <w:b/>
                <w:sz w:val="20"/>
                <w:szCs w:val="20"/>
              </w:rPr>
              <w:t>End Year</w:t>
            </w:r>
          </w:p>
        </w:tc>
        <w:tc>
          <w:tcPr>
            <w:tcW w:w="1236" w:type="dxa"/>
          </w:tcPr>
          <w:p>
            <w:pPr>
              <w:keepNext/>
              <w:widowControl w:val="false"/>
              <w:spacing w:after="0" w:line="240" w:lineRule="auto"/>
              <w:jc w:val="center"/>
              <w:rPr>
                <w:b/>
                <w:sz w:val="20"/>
                <w:szCs w:val="20"/>
              </w:rPr>
            </w:pPr>
            <w:r>
              <w:rPr>
                <w:b/>
                <w:sz w:val="20"/>
                <w:szCs w:val="20"/>
              </w:rPr>
              <w:t>Category</w:t>
            </w:r>
          </w:p>
        </w:tc>
        <w:tc>
          <w:tcPr>
            <w:tcW w:w="1287" w:type="dxa"/>
          </w:tcPr>
          <w:p>
            <w:pPr>
              <w:keepNext/>
              <w:widowControl w:val="false"/>
              <w:spacing w:after="0" w:line="240" w:lineRule="auto"/>
              <w:jc w:val="center"/>
              <w:rPr>
                <w:b/>
                <w:sz w:val="20"/>
                <w:szCs w:val="20"/>
              </w:rPr>
            </w:pPr>
            <w:r>
              <w:rPr>
                <w:b/>
                <w:sz w:val="20"/>
                <w:szCs w:val="20"/>
              </w:rPr>
              <w:t>Geographic Area</w:t>
            </w:r>
          </w:p>
        </w:tc>
        <w:tc>
          <w:tcPr>
            <w:tcW w:w="1172" w:type="dxa"/>
          </w:tcPr>
          <w:p>
            <w:pPr>
              <w:keepNext/>
              <w:widowControl w:val="false"/>
              <w:spacing w:after="0" w:line="240" w:lineRule="auto"/>
              <w:jc w:val="center"/>
              <w:rPr>
                <w:b/>
                <w:sz w:val="20"/>
                <w:szCs w:val="20"/>
              </w:rPr>
            </w:pPr>
            <w:r>
              <w:rPr>
                <w:b/>
                <w:sz w:val="20"/>
                <w:szCs w:val="20"/>
              </w:rPr>
              <w:t>Needs Addressed</w:t>
            </w:r>
          </w:p>
        </w:tc>
        <w:tc>
          <w:tcPr>
            <w:tcW w:w="2345" w:type="dxa"/>
          </w:tcPr>
          <w:p>
            <w:pPr>
              <w:keepNext/>
              <w:widowControl w:val="false"/>
              <w:spacing w:after="0" w:line="240" w:lineRule="auto"/>
              <w:jc w:val="center"/>
              <w:rPr>
                <w:b/>
                <w:sz w:val="20"/>
                <w:szCs w:val="20"/>
              </w:rPr>
            </w:pPr>
            <w:r>
              <w:rPr>
                <w:b/>
                <w:sz w:val="20"/>
                <w:szCs w:val="20"/>
              </w:rPr>
              <w:t>Funding</w:t>
            </w:r>
          </w:p>
        </w:tc>
        <w:tc>
          <w:tcPr>
            <w:tcW w:w="3283" w:type="dxa"/>
          </w:tcPr>
          <w:p>
            <w:pPr>
              <w:keepNext/>
              <w:widowControl w:val="false"/>
              <w:spacing w:after="0" w:line="240" w:lineRule="auto"/>
              <w:jc w:val="center"/>
              <w:rPr>
                <w:b/>
                <w:sz w:val="20"/>
                <w:szCs w:val="20"/>
              </w:rPr>
            </w:pPr>
            <w:r>
              <w:rPr>
                <w:b/>
                <w:sz w:val="20"/>
                <w:szCs w:val="20"/>
              </w:rPr>
              <w:t>Goal Outcome Indicator</w:t>
            </w:r>
          </w:p>
        </w:tc>
      </w:tr>
      <w:tr>
        <w:trPr>
          <w:cantSplit w:val="true"/>
        </w:trPr>
        <w:tc>
          <w:tcPr>
            <w:vAlign w:val="top"/>
          </w:tcPr>
          <w:p>
            <w:pPr>
              <w:spacing w:beforeAutospacing="true" w:afterAutospacing="true"/>
              <w:jc w:val="left"/>
            </w:pPr>
            <w:r>
              <w:rPr>
                <w:rFonts w:ascii="Calibri" w:hAnsi="Calibri"/>
                <w:b/>
                <w:color w:val="000000"/>
                <w:sz w:val="22"/>
              </w:rPr>
              <w:t xml:space="preserve">1</w:t>
            </w:r>
          </w:p>
        </w:tc>
        <w:tc>
          <w:tcPr>
            <w:vAlign w:val="top"/>
          </w:tcPr>
          <w:p>
            <w:pPr>
              <w:spacing w:beforeAutospacing="true" w:afterAutospacing="true"/>
              <w:jc w:val="left"/>
            </w:pPr>
            <w:r>
              <w:rPr>
                <w:rFonts w:ascii="Calibri" w:hAnsi="Calibri"/>
                <w:color w:val="000000"/>
                <w:sz w:val="22"/>
              </w:rPr>
              <w:t xml:space="preserve">Housing Rehabilitation &amp; Accessibility</w:t>
            </w:r>
          </w:p>
        </w:tc>
        <w:tc>
          <w:tcPr>
            <w:vAlign w:val="top"/>
          </w:tcPr>
          <w:p>
            <w:pPr>
              <w:spacing w:beforeAutospacing="true" w:afterAutospacing="true"/>
              <w:jc w:val="right"/>
            </w:pPr>
            <w:r>
              <w:rPr>
                <w:rFonts w:ascii="Calibri" w:hAnsi="Calibri"/>
                <w:color w:val="000000"/>
                <w:sz w:val="22"/>
              </w:rPr>
              <w:t xml:space="preserve">2015</w:t>
            </w:r>
          </w:p>
        </w:tc>
        <w:tc>
          <w:tcPr>
            <w:vAlign w:val="top"/>
          </w:tcPr>
          <w:p>
            <w:pPr>
              <w:spacing w:beforeAutospacing="true" w:afterAutospacing="true"/>
              <w:jc w:val="right"/>
            </w:pPr>
            <w:r>
              <w:rPr>
                <w:rFonts w:ascii="Calibri" w:hAnsi="Calibri"/>
                <w:color w:val="000000"/>
                <w:sz w:val="22"/>
              </w:rPr>
              <w:t xml:space="preserve">2019</w:t>
            </w:r>
          </w:p>
        </w:tc>
        <w:tc>
          <w:tcPr>
            <w:vAlign w:val="top"/>
          </w:tcPr>
          <w:p>
            <w:pPr>
              <w:spacing w:beforeAutospacing="true" w:afterAutospacing="true"/>
              <w:jc w:val="left"/>
            </w:pPr>
            <w:r>
              <w:rPr>
                <w:rFonts w:ascii="Calibri" w:hAnsi="Calibri"/>
                <w:color w:val="000000"/>
                <w:sz w:val="22"/>
              </w:rPr>
              <w:t xml:space="preserve">Affordable Housing</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Housing Rehabilitation</w:t>
            </w:r>
          </w:p>
        </w:tc>
        <w:tc>
          <w:tcPr>
            <w:vAlign w:val="top"/>
          </w:tcPr>
          <w:p>
            <w:pPr>
              <w:spacing w:beforeAutospacing="true" w:afterAutospacing="true"/>
              <w:jc w:val="right"/>
            </w:pPr>
            <w:r>
              <w:rPr>
                <w:rFonts w:ascii="Calibri" w:hAnsi="Calibri"/>
                <w:color w:val="000000"/>
                <w:sz w:val="22"/>
              </w:rPr>
              <w:t xml:space="preserve">CDBG: $495,000</w:t>
            </w:r>
            <w:r>
              <w:rPr>
                <w:rFonts w:ascii="Calibri" w:hAnsi="Calibri"/>
                <w:color w:val="000000"/>
                <w:sz w:val="22"/>
              </w:rPr>
              <w:br/>
              <w:t xml:space="preserve"/>
            </w:r>
            <w:r>
              <w:rPr>
                <w:rFonts w:ascii="Calibri" w:hAnsi="Calibri"/>
                <w:color w:val="000000"/>
                <w:sz w:val="22"/>
              </w:rPr>
              <w:t xml:space="preserve">HOME: $1,290,037</w:t>
            </w:r>
          </w:p>
        </w:tc>
        <w:tc>
          <w:tcPr>
            <w:vAlign w:val="top"/>
          </w:tcPr>
          <w:p>
            <w:pPr>
              <w:spacing w:beforeAutospacing="true" w:afterAutospacing="true"/>
              <w:jc w:val="left"/>
            </w:pPr>
            <w:r>
              <w:rPr>
                <w:rFonts w:ascii="Calibri" w:hAnsi="Calibri"/>
                <w:color w:val="000000"/>
                <w:sz w:val="22"/>
              </w:rPr>
              <w:t xml:space="preserve">Homeowner Housing Rehabilitated: 250 Household Housing Unit</w:t>
            </w:r>
          </w:p>
        </w:tc>
      </w:tr>
      <w:tr>
        <w:trPr>
          <w:cantSplit w:val="true"/>
        </w:trPr>
        <w:tc>
          <w:tcPr>
            <w:vAlign w:val="top"/>
          </w:tcPr>
          <w:p>
            <w:pPr>
              <w:spacing w:beforeAutospacing="true" w:afterAutospacing="true"/>
              <w:jc w:val="left"/>
            </w:pPr>
            <w:r>
              <w:rPr>
                <w:rFonts w:ascii="Calibri" w:hAnsi="Calibri"/>
                <w:b/>
                <w:color w:val="000000"/>
                <w:sz w:val="22"/>
              </w:rPr>
              <w:t xml:space="preserve">2</w:t>
            </w:r>
          </w:p>
        </w:tc>
        <w:tc>
          <w:tcPr>
            <w:vAlign w:val="top"/>
          </w:tcPr>
          <w:p>
            <w:pPr>
              <w:spacing w:beforeAutospacing="true" w:afterAutospacing="true"/>
              <w:jc w:val="left"/>
            </w:pPr>
            <w:r>
              <w:rPr>
                <w:rFonts w:ascii="Calibri" w:hAnsi="Calibri"/>
                <w:color w:val="000000"/>
                <w:sz w:val="22"/>
              </w:rPr>
              <w:t xml:space="preserve">Rental Housing</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Affordable Housing</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Rental Housing</w:t>
            </w:r>
          </w:p>
        </w:tc>
        <w:tc>
          <w:tcPr>
            <w:vAlign w:val="top"/>
          </w:tcPr>
          <w:p>
            <w:pPr>
              <w:spacing w:beforeAutospacing="true" w:afterAutospacing="true"/>
              <w:jc w:val="right"/>
            </w:pPr>
            <w:r>
              <w:rPr>
                <w:rFonts w:ascii="Calibri" w:hAnsi="Calibri"/>
                <w:color w:val="000000"/>
                <w:sz w:val="22"/>
              </w:rPr>
              <w:t xml:space="preserve">HOME: $1,838,543</w:t>
            </w:r>
          </w:p>
        </w:tc>
        <w:tc>
          <w:tcPr>
            <w:vAlign w:val="top"/>
          </w:tcPr>
          <w:p>
            <w:pPr>
              <w:spacing w:beforeAutospacing="true" w:afterAutospacing="true"/>
              <w:jc w:val="left"/>
            </w:pPr>
            <w:r>
              <w:rPr>
                <w:rFonts w:ascii="Calibri" w:hAnsi="Calibri"/>
                <w:color w:val="000000"/>
                <w:sz w:val="22"/>
              </w:rPr>
              <w:t xml:space="preserve">Rental units constructed: 307 Household Housing Unit</w:t>
            </w:r>
            <w:r>
              <w:rPr>
                <w:rFonts w:ascii="Calibri" w:hAnsi="Calibri"/>
                <w:color w:val="000000"/>
                <w:sz w:val="22"/>
              </w:rPr>
              <w:br/>
              <w:t xml:space="preserve"/>
            </w:r>
            <w:r>
              <w:rPr>
                <w:rFonts w:ascii="Calibri" w:hAnsi="Calibri"/>
                <w:color w:val="000000"/>
                <w:sz w:val="22"/>
              </w:rPr>
              <w:t xml:space="preserve">Rental units rehabilitated: 46 Household Housing Unit</w:t>
            </w:r>
          </w:p>
        </w:tc>
      </w:tr>
      <w:tr>
        <w:trPr>
          <w:cantSplit w:val="true"/>
        </w:trPr>
        <w:tc>
          <w:tcPr>
            <w:vAlign w:val="top"/>
          </w:tcPr>
          <w:p>
            <w:pPr>
              <w:spacing w:beforeAutospacing="true" w:afterAutospacing="true"/>
              <w:jc w:val="left"/>
            </w:pPr>
            <w:r>
              <w:rPr>
                <w:rFonts w:ascii="Calibri" w:hAnsi="Calibri"/>
                <w:b/>
                <w:color w:val="000000"/>
                <w:sz w:val="22"/>
              </w:rPr>
              <w:t xml:space="preserve">3</w:t>
            </w:r>
          </w:p>
        </w:tc>
        <w:tc>
          <w:tcPr>
            <w:vAlign w:val="top"/>
          </w:tcPr>
          <w:p>
            <w:pPr>
              <w:spacing w:beforeAutospacing="true" w:afterAutospacing="true"/>
              <w:jc w:val="left"/>
            </w:pPr>
            <w:r>
              <w:rPr>
                <w:rFonts w:ascii="Calibri" w:hAnsi="Calibri"/>
                <w:color w:val="000000"/>
                <w:sz w:val="22"/>
              </w:rPr>
              <w:t xml:space="preserve">Rental Assistance</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Homeless</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Rental assistance</w:t>
            </w:r>
          </w:p>
        </w:tc>
        <w:tc>
          <w:tcPr>
            <w:vAlign w:val="top"/>
          </w:tcPr>
          <w:p>
            <w:pPr>
              <w:spacing w:beforeAutospacing="true" w:afterAutospacing="true"/>
              <w:jc w:val="right"/>
            </w:pPr>
            <w:r>
              <w:rPr>
                <w:rFonts w:ascii="Calibri" w:hAnsi="Calibri"/>
                <w:color w:val="000000"/>
                <w:sz w:val="22"/>
              </w:rPr>
              <w:t xml:space="preserve">HOME: $550,000</w:t>
            </w:r>
          </w:p>
        </w:tc>
        <w:tc>
          <w:tcPr>
            <w:vAlign w:val="top"/>
          </w:tcPr>
          <w:p>
            <w:pPr>
              <w:spacing w:beforeAutospacing="true" w:afterAutospacing="true"/>
              <w:jc w:val="left"/>
            </w:pPr>
            <w:r>
              <w:rPr>
                <w:rFonts w:ascii="Calibri" w:hAnsi="Calibri"/>
                <w:color w:val="000000"/>
                <w:sz w:val="22"/>
              </w:rPr>
              <w:t xml:space="preserve">Tenant-based rental assistance / Rapid Rehousing: 100 Households Assisted</w:t>
            </w:r>
          </w:p>
        </w:tc>
      </w:tr>
      <w:tr>
        <w:trPr>
          <w:cantSplit w:val="true"/>
        </w:trPr>
        <w:tc>
          <w:tcPr>
            <w:vAlign w:val="top"/>
          </w:tcPr>
          <w:p>
            <w:pPr>
              <w:spacing w:beforeAutospacing="true" w:afterAutospacing="true"/>
              <w:jc w:val="left"/>
            </w:pPr>
            <w:r>
              <w:rPr>
                <w:rFonts w:ascii="Calibri" w:hAnsi="Calibri"/>
                <w:b/>
                <w:color w:val="000000"/>
                <w:sz w:val="22"/>
              </w:rPr>
              <w:t xml:space="preserve">4</w:t>
            </w:r>
          </w:p>
        </w:tc>
        <w:tc>
          <w:tcPr>
            <w:vAlign w:val="top"/>
          </w:tcPr>
          <w:p>
            <w:pPr>
              <w:spacing w:beforeAutospacing="true" w:afterAutospacing="true"/>
              <w:jc w:val="left"/>
            </w:pPr>
            <w:r>
              <w:rPr>
                <w:rFonts w:ascii="Calibri" w:hAnsi="Calibri"/>
                <w:color w:val="000000"/>
                <w:sz w:val="22"/>
              </w:rPr>
              <w:t xml:space="preserve">Homeownership</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Affordable Housing</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Homeownership</w:t>
            </w:r>
          </w:p>
        </w:tc>
        <w:tc>
          <w:tcPr>
            <w:vAlign w:val="top"/>
          </w:tcPr>
          <w:p>
            <w:pPr>
              <w:spacing w:beforeAutospacing="true" w:afterAutospacing="true"/>
              <w:jc w:val="right"/>
            </w:pPr>
            <w:r>
              <w:rPr>
                <w:rFonts w:ascii="Calibri" w:hAnsi="Calibri"/>
                <w:color w:val="000000"/>
                <w:sz w:val="22"/>
              </w:rPr>
              <w:t xml:space="preserve">CDBG: $204,741</w:t>
            </w:r>
            <w:r>
              <w:rPr>
                <w:rFonts w:ascii="Calibri" w:hAnsi="Calibri"/>
                <w:color w:val="000000"/>
                <w:sz w:val="22"/>
              </w:rPr>
              <w:br/>
              <w:t xml:space="preserve"/>
            </w:r>
            <w:r>
              <w:rPr>
                <w:rFonts w:ascii="Calibri" w:hAnsi="Calibri"/>
                <w:color w:val="000000"/>
                <w:sz w:val="22"/>
              </w:rPr>
              <w:t xml:space="preserve">HOME: $117,000</w:t>
            </w:r>
          </w:p>
        </w:tc>
        <w:tc>
          <w:tcPr>
            <w:vAlign w:val="top"/>
          </w:tcPr>
          <w:p>
            <w:pPr>
              <w:spacing w:beforeAutospacing="true" w:afterAutospacing="true"/>
              <w:jc w:val="left"/>
            </w:pPr>
            <w:r>
              <w:rPr>
                <w:rFonts w:ascii="Calibri" w:hAnsi="Calibri"/>
                <w:color w:val="000000"/>
                <w:sz w:val="22"/>
              </w:rPr>
              <w:t xml:space="preserve">Direct Financial Assistance to Homebuyers: 4 Households Assisted</w:t>
            </w:r>
          </w:p>
        </w:tc>
      </w:tr>
      <w:tr>
        <w:trPr>
          <w:cantSplit w:val="true"/>
        </w:trPr>
        <w:tc>
          <w:tcPr>
            <w:vAlign w:val="top"/>
          </w:tcPr>
          <w:p>
            <w:pPr>
              <w:spacing w:beforeAutospacing="true" w:afterAutospacing="true"/>
              <w:jc w:val="left"/>
            </w:pPr>
            <w:r>
              <w:rPr>
                <w:rFonts w:ascii="Calibri" w:hAnsi="Calibri"/>
                <w:b/>
                <w:color w:val="000000"/>
                <w:sz w:val="22"/>
              </w:rPr>
              <w:t xml:space="preserve">5</w:t>
            </w:r>
          </w:p>
        </w:tc>
        <w:tc>
          <w:tcPr>
            <w:vAlign w:val="top"/>
          </w:tcPr>
          <w:p>
            <w:pPr>
              <w:spacing w:beforeAutospacing="true" w:afterAutospacing="true"/>
              <w:jc w:val="left"/>
            </w:pPr>
            <w:r>
              <w:rPr>
                <w:rFonts w:ascii="Calibri" w:hAnsi="Calibri"/>
                <w:color w:val="000000"/>
                <w:sz w:val="22"/>
              </w:rPr>
              <w:t xml:space="preserve">Infrastructure</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Non-Housing Community Development</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Infrastructure</w:t>
            </w:r>
          </w:p>
        </w:tc>
        <w:tc>
          <w:tcPr>
            <w:vAlign w:val="top"/>
          </w:tcPr>
          <w:p>
            <w:pPr>
              <w:spacing w:beforeAutospacing="true" w:afterAutospacing="true"/>
              <w:jc w:val="right"/>
            </w:pPr>
            <w:r>
              <w:rPr>
                <w:rFonts w:ascii="Calibri" w:hAnsi="Calibri"/>
                <w:color w:val="000000"/>
                <w:sz w:val="22"/>
              </w:rPr>
              <w:t xml:space="preserve">CDBG: $755,000</w:t>
            </w:r>
          </w:p>
        </w:tc>
        <w:tc>
          <w:tcPr>
            <w:vAlign w:val="top"/>
          </w:tcPr>
          <w:p>
            <w:pPr>
              <w:spacing w:beforeAutospacing="true" w:afterAutospacing="true"/>
              <w:jc w:val="left"/>
            </w:pPr>
            <w:r>
              <w:rPr>
                <w:rFonts w:ascii="Calibri" w:hAnsi="Calibri"/>
                <w:color w:val="000000"/>
                <w:sz w:val="22"/>
              </w:rPr>
              <w:t xml:space="preserve">Public Facility or Infrastructure Activities for Low/Moderate Income Housing Benefit: 2 Households Assisted</w:t>
            </w:r>
          </w:p>
        </w:tc>
      </w:tr>
      <w:tr>
        <w:trPr>
          <w:cantSplit w:val="true"/>
        </w:trPr>
        <w:tc>
          <w:tcPr>
            <w:vAlign w:val="top"/>
          </w:tcPr>
          <w:p>
            <w:pPr>
              <w:spacing w:beforeAutospacing="true" w:afterAutospacing="true"/>
              <w:jc w:val="left"/>
            </w:pPr>
            <w:r>
              <w:rPr>
                <w:rFonts w:ascii="Calibri" w:hAnsi="Calibri"/>
                <w:b/>
                <w:color w:val="000000"/>
                <w:sz w:val="22"/>
              </w:rPr>
              <w:t xml:space="preserve">6</w:t>
            </w:r>
          </w:p>
        </w:tc>
        <w:tc>
          <w:tcPr>
            <w:vAlign w:val="top"/>
          </w:tcPr>
          <w:p>
            <w:pPr>
              <w:spacing w:beforeAutospacing="true" w:afterAutospacing="true"/>
              <w:jc w:val="left"/>
            </w:pPr>
            <w:r>
              <w:rPr>
                <w:rFonts w:ascii="Calibri" w:hAnsi="Calibri"/>
                <w:color w:val="000000"/>
                <w:sz w:val="22"/>
              </w:rPr>
              <w:t xml:space="preserve">Public facilities</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Non-Housing Community Development</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Public Facilities</w:t>
            </w:r>
          </w:p>
        </w:tc>
        <w:tc>
          <w:tcPr>
            <w:vAlign w:val="top"/>
          </w:tcPr>
          <w:p>
            <w:pPr>
              <w:spacing w:beforeAutospacing="true" w:afterAutospacing="true"/>
              <w:jc w:val="right"/>
            </w:pPr>
            <w:r>
              <w:rPr>
                <w:rFonts w:ascii="Calibri" w:hAnsi="Calibri"/>
                <w:color w:val="000000"/>
                <w:sz w:val="22"/>
              </w:rPr>
              <w:t xml:space="preserve">CDBG: $465,259</w:t>
            </w:r>
          </w:p>
        </w:tc>
        <w:tc>
          <w:tcPr>
            <w:vAlign w:val="top"/>
          </w:tcPr>
          <w:p>
            <w:pPr>
              <w:spacing w:beforeAutospacing="true" w:afterAutospacing="true"/>
              <w:jc w:val="left"/>
            </w:pPr>
            <w:r>
              <w:rPr>
                <w:rFonts w:ascii="Calibri" w:hAnsi="Calibri"/>
                <w:color w:val="000000"/>
                <w:sz w:val="22"/>
              </w:rPr>
              <w:t xml:space="preserve">Public Facility or Infrastructure Activities for Low/Moderate Income Housing Benefit: 2 Households Assisted</w:t>
            </w:r>
          </w:p>
        </w:tc>
      </w:tr>
      <w:tr>
        <w:trPr>
          <w:cantSplit w:val="true"/>
        </w:trPr>
        <w:tc>
          <w:tcPr>
            <w:vAlign w:val="top"/>
          </w:tcPr>
          <w:p>
            <w:pPr>
              <w:spacing w:beforeAutospacing="true" w:afterAutospacing="true"/>
              <w:jc w:val="left"/>
            </w:pPr>
            <w:r>
              <w:rPr>
                <w:rFonts w:ascii="Calibri" w:hAnsi="Calibri"/>
                <w:b/>
                <w:color w:val="000000"/>
                <w:sz w:val="22"/>
              </w:rPr>
              <w:t xml:space="preserve">7</w:t>
            </w:r>
          </w:p>
        </w:tc>
        <w:tc>
          <w:tcPr>
            <w:vAlign w:val="top"/>
          </w:tcPr>
          <w:p>
            <w:pPr>
              <w:spacing w:beforeAutospacing="true" w:afterAutospacing="true"/>
              <w:jc w:val="left"/>
            </w:pPr>
            <w:r>
              <w:rPr>
                <w:rFonts w:ascii="Calibri" w:hAnsi="Calibri"/>
                <w:color w:val="000000"/>
                <w:sz w:val="22"/>
              </w:rPr>
              <w:t xml:space="preserve">Access to crisis assistance</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Non-Housing Community Development</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Access to crisis assistance</w:t>
            </w:r>
          </w:p>
        </w:tc>
        <w:tc>
          <w:tcPr>
            <w:vAlign w:val="top"/>
          </w:tcPr>
          <w:p>
            <w:pPr>
              <w:spacing w:beforeAutospacing="true" w:afterAutospacing="true"/>
              <w:jc w:val="right"/>
            </w:pPr>
            <w:r>
              <w:rPr>
                <w:rFonts w:ascii="Calibri" w:hAnsi="Calibri"/>
                <w:color w:val="000000"/>
                <w:sz w:val="22"/>
              </w:rPr>
              <w:t xml:space="preserve">CDBG: $379,076</w:t>
            </w:r>
            <w:r>
              <w:rPr>
                <w:rFonts w:ascii="Calibri" w:hAnsi="Calibri"/>
                <w:color w:val="000000"/>
                <w:sz w:val="22"/>
              </w:rPr>
              <w:br/>
              <w:t xml:space="preserve"/>
            </w:r>
            <w:r>
              <w:rPr>
                <w:rFonts w:ascii="Calibri" w:hAnsi="Calibri"/>
                <w:color w:val="000000"/>
                <w:sz w:val="22"/>
              </w:rPr>
              <w:t xml:space="preserve">ESG: $202,564</w:t>
            </w:r>
          </w:p>
        </w:tc>
        <w:tc>
          <w:tcPr>
            <w:vAlign w:val="top"/>
          </w:tcPr>
          <w:p>
            <w:pPr>
              <w:spacing w:beforeAutospacing="true" w:afterAutospacing="true"/>
              <w:jc w:val="left"/>
            </w:pPr>
            <w:r>
              <w:rPr>
                <w:rFonts w:ascii="Calibri" w:hAnsi="Calibri"/>
                <w:color w:val="000000"/>
                <w:sz w:val="22"/>
              </w:rPr>
              <w:t xml:space="preserve">Homelessness Prevention: 1 Persons Assisted</w:t>
            </w:r>
          </w:p>
        </w:tc>
      </w:tr>
      <w:tr>
        <w:trPr>
          <w:cantSplit w:val="true"/>
        </w:trPr>
        <w:tc>
          <w:tcPr>
            <w:vAlign w:val="top"/>
          </w:tcPr>
          <w:p>
            <w:pPr>
              <w:spacing w:beforeAutospacing="true" w:afterAutospacing="true"/>
              <w:jc w:val="left"/>
            </w:pPr>
            <w:r>
              <w:rPr>
                <w:rFonts w:ascii="Calibri" w:hAnsi="Calibri"/>
                <w:b/>
                <w:color w:val="000000"/>
                <w:sz w:val="22"/>
              </w:rPr>
              <w:t xml:space="preserve">8</w:t>
            </w:r>
          </w:p>
        </w:tc>
        <w:tc>
          <w:tcPr>
            <w:vAlign w:val="top"/>
          </w:tcPr>
          <w:p>
            <w:pPr>
              <w:spacing w:beforeAutospacing="true" w:afterAutospacing="true"/>
              <w:jc w:val="left"/>
            </w:pPr>
            <w:r>
              <w:rPr>
                <w:rFonts w:ascii="Calibri" w:hAnsi="Calibri"/>
                <w:color w:val="000000"/>
                <w:sz w:val="22"/>
              </w:rPr>
              <w:t xml:space="preserve">Stability and safety</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Stability and Safety</w:t>
            </w:r>
          </w:p>
        </w:tc>
        <w:tc>
          <w:tcPr>
            <w:vAlign w:val="top"/>
          </w:tcPr>
          <w:p>
            <w:pPr>
              <w:spacing w:beforeAutospacing="true" w:afterAutospacing="true"/>
              <w:jc w:val="right"/>
            </w:pPr>
            <w:r>
              <w:rPr>
                <w:rFonts w:ascii="Calibri" w:hAnsi="Calibri"/>
                <w:color w:val="000000"/>
                <w:sz w:val="22"/>
              </w:rPr>
              <w:t xml:space="preserve">CDBG: $0</w:t>
            </w:r>
          </w:p>
        </w:tc>
        <w:tc>
          <w:tcPr>
            <w:vAlign w:val="top"/>
          </w:tcPr>
          <w:p>
            <w:pPr>
              <w:spacing w:beforeAutospacing="true" w:afterAutospacing="true"/>
              <w:jc w:val="left"/>
            </w:pPr>
            <w:r>
              <w:rPr>
                <w:rFonts w:ascii="Calibri" w:hAnsi="Calibri"/>
                <w:color w:val="000000"/>
                <w:sz w:val="22"/>
              </w:rPr>
              <w:t xml:space="preserve">Public service activities for Low/Moderate Income Housing Benefit: 13 Households Assisted</w:t>
            </w:r>
          </w:p>
        </w:tc>
      </w:tr>
      <w:tr>
        <w:trPr>
          <w:cantSplit w:val="true"/>
        </w:trPr>
        <w:tc>
          <w:tcPr>
            <w:vAlign w:val="top"/>
          </w:tcPr>
          <w:p>
            <w:pPr>
              <w:spacing w:beforeAutospacing="true" w:afterAutospacing="true"/>
              <w:jc w:val="left"/>
            </w:pPr>
            <w:r>
              <w:rPr>
                <w:rFonts w:ascii="Calibri" w:hAnsi="Calibri"/>
                <w:b/>
                <w:color w:val="000000"/>
                <w:sz w:val="22"/>
              </w:rPr>
              <w:t xml:space="preserve">9</w:t>
            </w:r>
          </w:p>
        </w:tc>
        <w:tc>
          <w:tcPr>
            <w:vAlign w:val="top"/>
          </w:tcPr>
          <w:p>
            <w:pPr>
              <w:spacing w:beforeAutospacing="true" w:afterAutospacing="true"/>
              <w:jc w:val="left"/>
            </w:pPr>
            <w:r>
              <w:rPr>
                <w:rFonts w:ascii="Calibri" w:hAnsi="Calibri"/>
                <w:color w:val="000000"/>
                <w:sz w:val="22"/>
              </w:rPr>
              <w:t xml:space="preserve">Economic stability</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Economic  Stability</w:t>
            </w:r>
          </w:p>
        </w:tc>
        <w:tc>
          <w:tcPr>
            <w:vAlign w:val="top"/>
          </w:tcPr>
          <w:p>
            <w:pPr>
              <w:spacing w:beforeAutospacing="true" w:afterAutospacing="true"/>
              <w:jc w:val="right"/>
            </w:pPr>
            <w:r>
              <w:rPr>
                <w:rFonts w:ascii="Calibri" w:hAnsi="Calibri"/>
                <w:color w:val="000000"/>
                <w:sz w:val="22"/>
              </w:rPr>
              <w:t xml:space="preserve">CDBG: $0</w:t>
            </w:r>
          </w:p>
        </w:tc>
        <w:tc>
          <w:tcPr>
            <w:vAlign w:val="top"/>
          </w:tcPr>
          <w:p>
            <w:pPr>
              <w:spacing w:beforeAutospacing="true" w:afterAutospacing="true"/>
              <w:jc w:val="left"/>
            </w:pPr>
            <w:r>
              <w:rPr>
                <w:rFonts w:ascii="Calibri" w:hAnsi="Calibri"/>
                <w:color w:val="000000"/>
                <w:sz w:val="22"/>
              </w:rPr>
              <w:t xml:space="preserve">Public service activities for Low/Moderate Income Housing Benefit: 100 Households Assisted</w:t>
            </w:r>
          </w:p>
        </w:tc>
      </w:tr>
      <w:tr>
        <w:trPr>
          <w:cantSplit w:val="true"/>
        </w:trPr>
        <w:tc>
          <w:tcPr>
            <w:vAlign w:val="top"/>
          </w:tcPr>
          <w:p>
            <w:pPr>
              <w:spacing w:beforeAutospacing="true" w:afterAutospacing="true"/>
              <w:jc w:val="left"/>
            </w:pPr>
            <w:r>
              <w:rPr>
                <w:rFonts w:ascii="Calibri" w:hAnsi="Calibri"/>
                <w:b/>
                <w:color w:val="000000"/>
                <w:sz w:val="22"/>
              </w:rPr>
              <w:t xml:space="preserve">10</w:t>
            </w:r>
          </w:p>
        </w:tc>
        <w:tc>
          <w:tcPr>
            <w:vAlign w:val="top"/>
          </w:tcPr>
          <w:p>
            <w:pPr>
              <w:spacing w:beforeAutospacing="true" w:afterAutospacing="true"/>
              <w:jc w:val="left"/>
            </w:pPr>
            <w:r>
              <w:rPr>
                <w:rFonts w:ascii="Calibri" w:hAnsi="Calibri"/>
                <w:color w:val="000000"/>
                <w:sz w:val="22"/>
              </w:rPr>
              <w:t xml:space="preserve">Administration of HOME, ESG and CDBG</w:t>
            </w:r>
          </w:p>
        </w:tc>
        <w:tc>
          <w:tcPr>
            <w:vAlign w:val="top"/>
          </w:tcPr>
          <w:p>
            <w:pPr>
              <w:spacing w:beforeAutospacing="true" w:afterAutospacing="true"/>
              <w:jc w:val="right"/>
            </w:pPr>
            <w:r>
              <w:rPr>
                <w:rFonts w:ascii="Calibri" w:hAnsi="Calibri"/>
                <w:color w:val="000000"/>
                <w:sz w:val="22"/>
              </w:rPr>
              <w:t xml:space="preserve">2020</w:t>
            </w:r>
          </w:p>
        </w:tc>
        <w:tc>
          <w:tcPr>
            <w:vAlign w:val="top"/>
          </w:tcPr>
          <w:p>
            <w:pPr>
              <w:spacing w:beforeAutospacing="true" w:afterAutospacing="true"/>
              <w:jc w:val="right"/>
            </w:pPr>
            <w:r>
              <w:rPr>
                <w:rFonts w:ascii="Calibri" w:hAnsi="Calibri"/>
                <w:color w:val="000000"/>
                <w:sz w:val="22"/>
              </w:rPr>
              <w:t xml:space="preserve">2024</w:t>
            </w:r>
          </w:p>
        </w:tc>
        <w:tc>
          <w:tcPr>
            <w:vAlign w:val="top"/>
          </w:tcPr>
          <w:p>
            <w:pPr>
              <w:spacing w:beforeAutospacing="true" w:afterAutospacing="true"/>
              <w:jc w:val="left"/>
            </w:pPr>
            <w:r>
              <w:rPr>
                <w:rFonts w:ascii="Calibri" w:hAnsi="Calibri"/>
                <w:color w:val="000000"/>
                <w:sz w:val="22"/>
              </w:rPr>
              <w:t xml:space="preserve">Affordable Housing</w:t>
            </w:r>
            <w:r>
              <w:rPr>
                <w:rFonts w:ascii="Calibri" w:hAnsi="Calibri"/>
                <w:color w:val="000000"/>
                <w:sz w:val="22"/>
              </w:rPr>
              <w:br/>
              <w:t xml:space="preserve"/>
            </w:r>
            <w:r>
              <w:rPr>
                <w:rFonts w:ascii="Calibri" w:hAnsi="Calibri"/>
                <w:color w:val="000000"/>
                <w:sz w:val="22"/>
              </w:rPr>
              <w:t xml:space="preserve">Homeless</w:t>
            </w:r>
            <w:r>
              <w:rPr>
                <w:rFonts w:ascii="Calibri" w:hAnsi="Calibri"/>
                <w:color w:val="000000"/>
                <w:sz w:val="22"/>
              </w:rPr>
              <w:br/>
              <w:t xml:space="preserve"/>
            </w:r>
            <w:r>
              <w:rPr>
                <w:rFonts w:ascii="Calibri" w:hAnsi="Calibri"/>
                <w:color w:val="000000"/>
                <w:sz w:val="22"/>
              </w:rPr>
              <w:t xml:space="preserve">Non-Homeless Special Needs</w:t>
            </w:r>
            <w:r>
              <w:rPr>
                <w:rFonts w:ascii="Calibri" w:hAnsi="Calibri"/>
                <w:color w:val="000000"/>
                <w:sz w:val="22"/>
              </w:rPr>
              <w:br/>
              <w:t xml:space="preserve"/>
            </w:r>
            <w:r>
              <w:rPr>
                <w:rFonts w:ascii="Calibri" w:hAnsi="Calibri"/>
                <w:color w:val="000000"/>
                <w:sz w:val="22"/>
              </w:rPr>
              <w:t xml:space="preserve">Non-Housing Community Development</w:t>
            </w:r>
          </w:p>
        </w:tc>
        <w:tc>
          <w:tcPr>
            <w:vAlign w:val="top"/>
          </w:tcPr>
          <w:p>
            <w:pPr>
              <w:spacing w:beforeAutospacing="true" w:afterAutospacing="true"/>
              <w:jc w:val="left"/>
            </w:pPr>
            <w:r>
              <w:rPr>
                <w:rFonts w:ascii="Calibri" w:hAnsi="Calibri"/>
                <w:color w:val="000000"/>
                <w:sz w:val="22"/>
              </w:rPr>
              <w:t xml:space="preserve">Salt Lake County</w:t>
            </w:r>
          </w:p>
        </w:tc>
        <w:tc>
          <w:tcPr>
            <w:vAlign w:val="top"/>
          </w:tcPr>
          <w:p>
            <w:pPr>
              <w:spacing w:beforeAutospacing="true" w:afterAutospacing="true"/>
              <w:jc w:val="left"/>
            </w:pPr>
            <w:r>
              <w:rPr>
                <w:rFonts w:ascii="Calibri" w:hAnsi="Calibri"/>
                <w:color w:val="000000"/>
                <w:sz w:val="22"/>
              </w:rPr>
              <w:t xml:space="preserve">Rental Housing</w:t>
            </w:r>
            <w:r>
              <w:rPr>
                <w:rFonts w:ascii="Calibri" w:hAnsi="Calibri"/>
                <w:color w:val="000000"/>
                <w:sz w:val="22"/>
              </w:rPr>
              <w:br/>
              <w:t xml:space="preserve"/>
            </w:r>
            <w:r>
              <w:rPr>
                <w:rFonts w:ascii="Calibri" w:hAnsi="Calibri"/>
                <w:color w:val="000000"/>
                <w:sz w:val="22"/>
              </w:rPr>
              <w:t xml:space="preserve">Homeownership</w:t>
            </w:r>
            <w:r>
              <w:rPr>
                <w:rFonts w:ascii="Calibri" w:hAnsi="Calibri"/>
                <w:color w:val="000000"/>
                <w:sz w:val="22"/>
              </w:rPr>
              <w:br/>
              <w:t xml:space="preserve"/>
            </w: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Housing Rehabilitation</w:t>
            </w:r>
            <w:r>
              <w:rPr>
                <w:rFonts w:ascii="Calibri" w:hAnsi="Calibri"/>
                <w:color w:val="000000"/>
                <w:sz w:val="22"/>
              </w:rPr>
              <w:br/>
              <w:t xml:space="preserve"/>
            </w:r>
            <w:r>
              <w:rPr>
                <w:rFonts w:ascii="Calibri" w:hAnsi="Calibri"/>
                <w:color w:val="000000"/>
                <w:sz w:val="22"/>
              </w:rPr>
              <w:t xml:space="preserve">Infrastructure</w:t>
            </w:r>
            <w:r>
              <w:rPr>
                <w:rFonts w:ascii="Calibri" w:hAnsi="Calibri"/>
                <w:color w:val="000000"/>
                <w:sz w:val="22"/>
              </w:rPr>
              <w:br/>
              <w:t xml:space="preserve"/>
            </w: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Stability and Safety</w:t>
            </w:r>
          </w:p>
        </w:tc>
        <w:tc>
          <w:tcPr>
            <w:vAlign w:val="top"/>
          </w:tcPr>
          <w:p>
            <w:pPr>
              <w:spacing w:beforeAutospacing="true" w:afterAutospacing="true"/>
              <w:jc w:val="right"/>
            </w:pPr>
            <w:r>
              <w:rPr>
                <w:rFonts w:ascii="Calibri" w:hAnsi="Calibri"/>
                <w:color w:val="000000"/>
                <w:sz w:val="22"/>
              </w:rPr>
              <w:t xml:space="preserve">CDBG: $505,714</w:t>
            </w:r>
            <w:r>
              <w:rPr>
                <w:rFonts w:ascii="Calibri" w:hAnsi="Calibri"/>
                <w:color w:val="000000"/>
                <w:sz w:val="22"/>
              </w:rPr>
              <w:br/>
              <w:t xml:space="preserve"/>
            </w:r>
            <w:r>
              <w:rPr>
                <w:rFonts w:ascii="Calibri" w:hAnsi="Calibri"/>
                <w:color w:val="000000"/>
                <w:sz w:val="22"/>
              </w:rPr>
              <w:t xml:space="preserve">HOME: $375,059</w:t>
            </w:r>
            <w:r>
              <w:rPr>
                <w:rFonts w:ascii="Calibri" w:hAnsi="Calibri"/>
                <w:color w:val="000000"/>
                <w:sz w:val="22"/>
              </w:rPr>
              <w:br/>
              <w:t xml:space="preserve"/>
            </w:r>
            <w:r>
              <w:rPr>
                <w:rFonts w:ascii="Calibri" w:hAnsi="Calibri"/>
                <w:color w:val="000000"/>
                <w:sz w:val="22"/>
              </w:rPr>
              <w:t xml:space="preserve">ESG: $15,247</w:t>
            </w:r>
          </w:p>
        </w:tc>
        <w:tc>
          <w:tcPr>
            <w:vAlign w:val="top"/>
          </w:tcPr>
          <w:p>
            <w:pPr>
              <w:spacing w:beforeAutospacing="true" w:afterAutospacing="true"/>
              <w:jc w:val="left"/>
            </w:pPr>
            <w:r>
              <w:rPr>
                <w:rFonts w:ascii="Calibri" w:hAnsi="Calibri"/>
                <w:color w:val="000000"/>
                <w:sz w:val="22"/>
              </w:rPr>
              <w:t xml:space="preserve">Public Facility or Infrastructure Activities other than Low/Moderate Income Housing Benefit: 0 Persons Assisted</w:t>
            </w:r>
            <w:r>
              <w:rPr>
                <w:rFonts w:ascii="Calibri" w:hAnsi="Calibri"/>
                <w:color w:val="000000"/>
                <w:sz w:val="22"/>
              </w:rPr>
              <w:br/>
              <w:t xml:space="preserve"/>
            </w:r>
            <w:r>
              <w:rPr>
                <w:rFonts w:ascii="Calibri" w:hAnsi="Calibri"/>
                <w:color w:val="000000"/>
                <w:sz w:val="22"/>
              </w:rPr>
              <w:t xml:space="preserve">Other: 2 Other</w:t>
            </w:r>
          </w:p>
        </w:tc>
      </w:tr>
    </w:tbl>
    <w:p>
      <w:pPr>
        <w:pStyle w:val="Caption"/>
        <w:jc w:val="center"/>
        <w:rPr>
          <w:rFonts w:asciiTheme="minorHAnsi" w:hAnsiTheme="minorHAnsi"/>
        </w:rPr>
      </w:pPr>
      <w:r>
        <w:rPr>
          <w:rFonts w:asciiTheme="minorHAnsi" w:hAnsiTheme="minorHAnsi"/>
        </w:rPr>
        <w:t xml:space="preserve">Table </w:t>
        <w:fldChar w:fldCharType="begin"/>
        <w:instrText xml:space="preserve"> SEQ Table \* ARABIC </w:instrText>
        <w:fldChar w:fldCharType="separate"/>
        <w:t>2</w:t>
        <w:fldChar w:fldCharType="end"/>
        <w:t xml:space="preserve"> – Goals Summary</w:t>
      </w:r>
    </w:p>
    <w:p/>
    <w:p>
      <w:pPr>
        <w:rPr>
          <w:b/>
          <w:sz w:val="24"/>
          <w:szCs w:val="24"/>
        </w:rPr>
      </w:pPr>
      <w:r>
        <w:rPr>
          <w:b/>
          <w:sz w:val="24"/>
          <w:szCs w:val="24"/>
        </w:rPr>
        <w:t>Goal Descriptions</w:t>
      </w:r>
    </w:p>
    <w:p>
      <w:pPr>
        <w:rPr>
          <w:b/>
          <w:sz w:val="24"/>
          <w:szCs w:val="24"/>
        </w:r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pPr>
              <w:keepNext w:val="true"/>
              <w:spacing w:before="100" w:after="0"/>
            </w:pPr>
            <w:r>
              <w:rPr>
                <w:rFonts w:ascii="Calibri" w:hAnsi="Calibri"/>
                <w:b/>
                <w:color w:val="000000"/>
                <w:sz w:val="22"/>
              </w:rPr>
              <w:t xml:space="preserve">1</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Housing Rehabilitation &amp; Accessibility</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HOME funding will be provided to Community Development Corporation of Utah, Salt Lake Valley Habitat for Humanity, West Valley City, and Assist </w:t>
            </w:r>
          </w:p>
          <w:p>
            <w:pPr>
              <w:spacing w:before="100" w:after="0"/>
            </w:pPr>
            <w:r>
              <w:rPr>
                <w:rFonts w:ascii="Calibri" w:hAnsi="Calibri"/>
                <w:color w:val="000000"/>
                <w:sz w:val="22"/>
              </w:rPr>
              <w:t xml:space="preserve">CDBG funds will be provided to Assist Inc, for an emergency home repair program.</w:t>
            </w:r>
          </w:p>
          <w:p>
            <w:pPr>
              <w:spacing w:before="100" w:after="0"/>
            </w:pPr>
          </w:p>
        </w:tc>
      </w:tr>
      <w:tr>
        <w:trPr>
          <w:cantSplit w:val="true"/>
        </w:trPr>
        <w:tc>
          <w:tcPr>
            <w:vMerge w:val="restart"/>
          </w:tcPr>
          <w:p>
            <w:pPr>
              <w:keepNext w:val="true"/>
              <w:spacing w:before="100" w:after="0"/>
            </w:pPr>
            <w:r>
              <w:rPr>
                <w:rFonts w:ascii="Calibri" w:hAnsi="Calibri"/>
                <w:b/>
                <w:color w:val="000000"/>
                <w:sz w:val="22"/>
              </w:rPr>
              <w:t xml:space="preserve">2</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Rental Housing</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HOME funds are committed to the Tayslorville Liberty Beacon project $88,457, Magnolia project ($1,000,000) and 144 South project $250,000</w:t>
            </w:r>
          </w:p>
          <w:p>
            <w:pPr>
              <w:spacing w:before="100" w:after="0"/>
            </w:pPr>
            <w:r>
              <w:rPr>
                <w:rFonts w:ascii="Calibri" w:hAnsi="Calibri"/>
                <w:color w:val="000000"/>
                <w:sz w:val="22"/>
              </w:rPr>
              <w:t xml:space="preserve">HOME CHDO set aside funding of $500,000 is committed to a preservation project of 23 duplexes</w:t>
            </w:r>
          </w:p>
          <w:p>
            <w:pPr>
              <w:spacing w:before="100" w:after="0"/>
            </w:pPr>
          </w:p>
        </w:tc>
      </w:tr>
      <w:tr>
        <w:trPr>
          <w:cantSplit w:val="true"/>
        </w:trPr>
        <w:tc>
          <w:tcPr>
            <w:vMerge w:val="restart"/>
          </w:tcPr>
          <w:p>
            <w:pPr>
              <w:keepNext w:val="true"/>
              <w:spacing w:before="100" w:after="0"/>
            </w:pPr>
            <w:r>
              <w:rPr>
                <w:rFonts w:ascii="Calibri" w:hAnsi="Calibri"/>
                <w:b/>
                <w:color w:val="000000"/>
                <w:sz w:val="22"/>
              </w:rPr>
              <w:t xml:space="preserve">3</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Rental Assistance</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HOME funds are committed to Road Home $300,000 and Housing Connect $250,000 to provide short term rental assistance</w:t>
            </w:r>
          </w:p>
        </w:tc>
      </w:tr>
      <w:tr>
        <w:trPr>
          <w:cantSplit w:val="true"/>
        </w:trPr>
        <w:tc>
          <w:tcPr>
            <w:vMerge w:val="restart"/>
          </w:tcPr>
          <w:p>
            <w:pPr>
              <w:keepNext w:val="true"/>
              <w:spacing w:before="100" w:after="0"/>
            </w:pPr>
            <w:r>
              <w:rPr>
                <w:rFonts w:ascii="Calibri" w:hAnsi="Calibri"/>
                <w:b/>
                <w:color w:val="000000"/>
                <w:sz w:val="22"/>
              </w:rPr>
              <w:t xml:space="preserve">4</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Homeownership</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West Valley City allocated HOME funds for the adminstration of a downpayment assistnace program</w:t>
            </w:r>
          </w:p>
        </w:tc>
      </w:tr>
      <w:tr>
        <w:trPr>
          <w:cantSplit w:val="true"/>
        </w:trPr>
        <w:tc>
          <w:tcPr>
            <w:vMerge w:val="restart"/>
          </w:tcPr>
          <w:p>
            <w:pPr>
              <w:keepNext w:val="true"/>
              <w:spacing w:before="100" w:after="0"/>
            </w:pPr>
            <w:r>
              <w:rPr>
                <w:rFonts w:ascii="Calibri" w:hAnsi="Calibri"/>
                <w:b/>
                <w:color w:val="000000"/>
                <w:sz w:val="22"/>
              </w:rPr>
              <w:t xml:space="preserve">5</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Infrastructure</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CDBG funds will be committed to two infrastructure projects, one is in Magna </w:t>
            </w:r>
          </w:p>
        </w:tc>
      </w:tr>
      <w:tr>
        <w:trPr>
          <w:cantSplit w:val="true"/>
        </w:trPr>
        <w:tc>
          <w:tcPr>
            <w:vMerge w:val="restart"/>
          </w:tcPr>
          <w:p>
            <w:pPr>
              <w:keepNext w:val="true"/>
              <w:spacing w:before="100" w:after="0"/>
            </w:pPr>
            <w:r>
              <w:rPr>
                <w:rFonts w:ascii="Calibri" w:hAnsi="Calibri"/>
                <w:b/>
                <w:color w:val="000000"/>
                <w:sz w:val="22"/>
              </w:rPr>
              <w:t xml:space="preserve">6</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Public facilities</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CDBG funds will be committed to improve public facilities</w:t>
            </w:r>
          </w:p>
        </w:tc>
      </w:tr>
      <w:tr>
        <w:trPr>
          <w:cantSplit w:val="true"/>
        </w:trPr>
        <w:tc>
          <w:tcPr>
            <w:vMerge w:val="restart"/>
          </w:tcPr>
          <w:p>
            <w:pPr>
              <w:keepNext w:val="true"/>
              <w:spacing w:before="100" w:after="0"/>
            </w:pPr>
            <w:r>
              <w:rPr>
                <w:rFonts w:ascii="Calibri" w:hAnsi="Calibri"/>
                <w:b/>
                <w:color w:val="000000"/>
                <w:sz w:val="22"/>
              </w:rPr>
              <w:t xml:space="preserve">7</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Access to crisis assistance</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Funding will be provided to Community &amp; Support Services organizations providing public services</w:t>
            </w:r>
          </w:p>
        </w:tc>
      </w:tr>
      <w:tr>
        <w:trPr>
          <w:cantSplit w:val="true"/>
        </w:trPr>
        <w:tc>
          <w:tcPr>
            <w:vMerge w:val="restart"/>
          </w:tcPr>
          <w:p>
            <w:pPr>
              <w:keepNext w:val="true"/>
              <w:spacing w:before="100" w:after="0"/>
            </w:pPr>
            <w:r>
              <w:rPr>
                <w:rFonts w:ascii="Calibri" w:hAnsi="Calibri"/>
                <w:b/>
                <w:color w:val="000000"/>
                <w:sz w:val="22"/>
              </w:rPr>
              <w:t xml:space="preserve">8</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Stability and safety</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funding will be provided to Community &amp; Support Services organizations providing public services</w:t>
            </w:r>
          </w:p>
        </w:tc>
      </w:tr>
      <w:tr>
        <w:trPr>
          <w:cantSplit w:val="true"/>
        </w:trPr>
        <w:tc>
          <w:tcPr>
            <w:vMerge w:val="restart"/>
          </w:tcPr>
          <w:p>
            <w:pPr>
              <w:keepNext w:val="true"/>
              <w:spacing w:before="100" w:after="0"/>
            </w:pPr>
            <w:r>
              <w:rPr>
                <w:rFonts w:ascii="Calibri" w:hAnsi="Calibri"/>
                <w:b/>
                <w:color w:val="000000"/>
                <w:sz w:val="22"/>
              </w:rPr>
              <w:t xml:space="preserve">9</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Economic stability</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no funding </w:t>
            </w:r>
          </w:p>
        </w:tc>
      </w:tr>
      <w:tr>
        <w:trPr>
          <w:cantSplit w:val="true"/>
        </w:trPr>
        <w:tc>
          <w:tcPr>
            <w:vMerge w:val="restart"/>
          </w:tcPr>
          <w:p>
            <w:pPr>
              <w:keepNext w:val="true"/>
              <w:spacing w:before="100" w:after="0"/>
            </w:pPr>
            <w:r>
              <w:rPr>
                <w:rFonts w:ascii="Calibri" w:hAnsi="Calibri"/>
                <w:b/>
                <w:color w:val="000000"/>
                <w:sz w:val="22"/>
              </w:rPr>
              <w:t xml:space="preserve">10</w:t>
            </w:r>
          </w:p>
        </w:tc>
        <w:tc>
          <w:p>
            <w:pPr>
              <w:keepNext w:val="true"/>
              <w:spacing w:before="100" w:after="0"/>
              <w:rPr>
                <w:b/>
                <w:sz w:val="24"/>
                <w:szCs w:val="24"/>
              </w:rPr>
            </w:pPr>
            <w:r>
              <w:rPr>
                <w:b/>
                <w:sz w:val="24"/>
                <w:szCs w:val="24"/>
              </w:rPr>
              <w:t>Goal Name</w:t>
            </w:r>
          </w:p>
        </w:tc>
        <w:tc>
          <w:p>
            <w:pPr>
              <w:spacing w:before="100" w:after="0"/>
            </w:pPr>
            <w:r>
              <w:rPr>
                <w:rFonts w:ascii="Calibri" w:hAnsi="Calibri"/>
                <w:color w:val="000000"/>
                <w:sz w:val="22"/>
              </w:rPr>
              <w:t xml:space="preserve">Administration of HOME, ESG and CDBG</w:t>
            </w:r>
          </w:p>
        </w:tc>
      </w:tr>
      <w:tr>
        <w:trPr>
          <w:cantSplit w:val="true"/>
        </w:trPr>
        <w:tc>
          <w:tcPr>
            <w:vMerge/>
          </w:tcPr>
          <w:p/>
        </w:tc>
        <w:tc>
          <w:p>
            <w:pPr>
              <w:keepNext w:val="true"/>
              <w:spacing w:before="100" w:after="0"/>
              <w:rPr>
                <w:b/>
                <w:sz w:val="24"/>
                <w:szCs w:val="24"/>
              </w:rPr>
            </w:pPr>
            <w:r>
              <w:rPr>
                <w:b/>
                <w:sz w:val="24"/>
                <w:szCs w:val="24"/>
              </w:rPr>
              <w:t>Goal Description</w:t>
            </w:r>
          </w:p>
        </w:tc>
        <w:tc>
          <w:p>
            <w:pPr>
              <w:spacing w:before="100" w:after="0"/>
            </w:pPr>
            <w:r>
              <w:rPr>
                <w:rFonts w:ascii="Calibri" w:hAnsi="Calibri"/>
                <w:color w:val="000000"/>
                <w:sz w:val="22"/>
              </w:rPr>
              <w:t xml:space="preserve">HOME, CDBG, ESG funds will be used to administer respective programs</w:t>
            </w:r>
          </w:p>
        </w:tc>
      </w:tr>
    </w:tbl>
    <w:p>
      <w:pPr>
        <w:rPr>
          <w:b/>
          <w:sz w:val="24"/>
          <w:szCs w:val="24"/>
        </w:rPr>
      </w:pPr>
    </w:p>
    <w:p>
      <w:pPr>
        <w:rPr>
          <w:b/>
          <w:sz w:val="24"/>
          <w:szCs w:val="24"/>
        </w:rPr>
      </w:pPr>
    </w:p>
    <w:p/>
    <w:p>
      <w:pPr>
        <w:keepNext/>
        <w:widowControl w:val="false"/>
        <w:spacing w:line="204" w:lineRule="auto"/>
        <w:rPr>
          <w:b/>
          <w:sz w:val="24"/>
          <w:szCs w:val="24"/>
        </w:rPr>
      </w:pPr>
    </w:p>
    <w:p>
      <w:pPr>
        <w:rPr>
          <w:b/>
          <w:sz w:val="24"/>
          <w:szCs w:val="24"/>
        </w:rPr>
      </w:pPr>
    </w:p>
    <w:p>
      <w:pPr>
        <w:widowControl w:val="false"/>
      </w:pPr>
    </w:p>
    <w:p>
      <w:pPr>
        <w:sectPr>
          <w:pgSz w:w="15840" w:h="12240" w:orient="landscape" w:code="1"/>
          <w:pgMar w:top="1440" w:right="1440" w:bottom="1440" w:left="1440" w:header="720" w:footer="720" w:gutter="0"/>
          <w:cols w:space="720"/>
          <w:docGrid w:linePitch="360"/>
        </w:sectPr>
      </w:pPr>
    </w:p>
    <w:p>
      <w:pPr>
        <w:pStyle w:val="Heading2"/>
        <w:rPr>
          <w:rFonts w:ascii="Calibri" w:hAnsi="Calibri"/>
          <w:i w:val="false"/>
        </w:rPr>
      </w:pPr>
      <w:bookmarkStart w:id="2" w:name="_Toc309810475"/>
      <w:bookmarkEnd w:id="0"/>
      <w:r>
        <w:rPr>
          <w:rFonts w:ascii="Calibri" w:hAnsi="Calibri"/>
          <w:i w:val="false"/>
        </w:rPr>
        <w:t>AP-35 Projects - 91.420, 91.220(d)</w:t>
      </w:r>
    </w:p>
    <w:p>
      <w:pPr>
        <w:keepNext/>
        <w:widowControl w:val="false"/>
        <w:spacing w:line="204" w:lineRule="auto"/>
        <w:rPr>
          <w:b/>
          <w:sz w:val="24"/>
          <w:szCs w:val="24"/>
        </w:rPr>
      </w:pPr>
      <w:r>
        <w:rPr>
          <w:b/>
          <w:sz w:val="24"/>
          <w:szCs w:val="24"/>
        </w:rPr>
        <w:t xml:space="preserve">Introduction </w:t>
      </w:r>
    </w:p>
    <w:p>
      <w:pPr>
        <w:keepNext/>
        <w:widowControl w:val="false"/>
        <w:spacing w:beforeAutospacing="true" w:afterAutospacing="true"/>
        <w:rPr>
          <w:b/>
          <w:sz w:val="24"/>
          <w:szCs w:val="24"/>
        </w:rPr>
      </w:pPr>
      <w:r>
        <w:rPr>
          <w:rFonts w:cs="Arial"/>
        </w:rPr>
        <w:t xml:space="preserve">Salt Lake County has allocated funds to these activities to help mitigate critical needs in Salt Lake County.</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2073"/>
        <w:gridCol w:w="7388"/>
      </w:tblGrid>
      <w:tr>
        <w:trPr>
          <w:cantSplit/>
          <w:tblHeader/>
        </w:trPr>
        <w:tc>
          <w:tcPr>
            <w:tcW w:w="0" w:type="auto"/>
          </w:tcPr>
          <w:p>
            <w:pPr>
              <w:keepNext/>
              <w:widowControl w:val="false"/>
              <w:spacing w:after="0" w:line="240" w:lineRule="auto"/>
              <w:jc w:val="center"/>
              <w:rPr>
                <w:b/>
              </w:rPr>
            </w:pPr>
            <w:r>
              <w:rPr>
                <w:b/>
              </w:rPr>
              <w:t>#</w:t>
            </w:r>
          </w:p>
        </w:tc>
        <w:tc>
          <w:tcPr>
            <w:tcW w:w="0" w:type="auto"/>
          </w:tcPr>
          <w:p>
            <w:pPr>
              <w:keepNext/>
              <w:widowControl w:val="false"/>
              <w:spacing w:after="0" w:line="240" w:lineRule="auto"/>
              <w:jc w:val="center"/>
              <w:rPr>
                <w:b/>
                <w:szCs w:val="24"/>
              </w:rPr>
            </w:pPr>
            <w:r>
              <w:rPr>
                <w:b/>
              </w:rPr>
              <w:t>Project Name</w:t>
            </w:r>
          </w:p>
        </w:tc>
      </w:tr>
      <w:tr>
        <w:trPr>
          <w:cantSplit w:val="true"/>
        </w:trPr>
        <w:tc>
          <w:tcPr>
            <w:vAlign w:val="bottom"/>
          </w:tcPr>
          <w:p>
            <w:pPr>
              <w:spacing w:beforeAutospacing="true" w:afterAutospacing="true"/>
              <w:jc w:val="right"/>
            </w:pPr>
            <w:r>
              <w:rPr>
                <w:rFonts w:ascii="Calibri" w:hAnsi="Calibri"/>
                <w:color w:val="000000"/>
                <w:sz w:val="22"/>
              </w:rPr>
              <w:t xml:space="preserve">1</w:t>
            </w:r>
          </w:p>
        </w:tc>
        <w:tc>
          <w:tcPr>
            <w:vAlign w:val="bottom"/>
          </w:tcPr>
          <w:p>
            <w:pPr>
              <w:spacing w:beforeAutospacing="true" w:afterAutospacing="true"/>
              <w:jc w:val="left"/>
            </w:pPr>
            <w:r>
              <w:rPr>
                <w:rFonts w:ascii="Calibri" w:hAnsi="Calibri"/>
                <w:color w:val="000000"/>
                <w:sz w:val="22"/>
              </w:rPr>
              <w:t xml:space="preserve">HOME housing rehabilitation</w:t>
            </w:r>
          </w:p>
        </w:tc>
      </w:tr>
      <w:tr>
        <w:trPr>
          <w:cantSplit w:val="true"/>
        </w:trPr>
        <w:tc>
          <w:tcPr>
            <w:vAlign w:val="bottom"/>
          </w:tcPr>
          <w:p>
            <w:pPr>
              <w:spacing w:beforeAutospacing="true" w:afterAutospacing="true"/>
              <w:jc w:val="right"/>
            </w:pPr>
            <w:r>
              <w:rPr>
                <w:rFonts w:ascii="Calibri" w:hAnsi="Calibri"/>
                <w:color w:val="000000"/>
                <w:sz w:val="22"/>
              </w:rPr>
              <w:t xml:space="preserve">2</w:t>
            </w:r>
          </w:p>
        </w:tc>
        <w:tc>
          <w:tcPr>
            <w:vAlign w:val="bottom"/>
          </w:tcPr>
          <w:p>
            <w:pPr>
              <w:spacing w:beforeAutospacing="true" w:afterAutospacing="true"/>
              <w:jc w:val="left"/>
            </w:pPr>
            <w:r>
              <w:rPr>
                <w:rFonts w:ascii="Calibri" w:hAnsi="Calibri"/>
                <w:color w:val="000000"/>
                <w:sz w:val="22"/>
              </w:rPr>
              <w:t xml:space="preserve">HOME Rental Housing</w:t>
            </w:r>
          </w:p>
        </w:tc>
      </w:tr>
      <w:tr>
        <w:trPr>
          <w:cantSplit w:val="true"/>
        </w:trPr>
        <w:tc>
          <w:tcPr>
            <w:vAlign w:val="bottom"/>
          </w:tcPr>
          <w:p>
            <w:pPr>
              <w:spacing w:beforeAutospacing="true" w:afterAutospacing="true"/>
              <w:jc w:val="right"/>
            </w:pPr>
            <w:r>
              <w:rPr>
                <w:rFonts w:ascii="Calibri" w:hAnsi="Calibri"/>
                <w:color w:val="000000"/>
                <w:sz w:val="22"/>
              </w:rPr>
              <w:t xml:space="preserve">3</w:t>
            </w:r>
          </w:p>
        </w:tc>
        <w:tc>
          <w:tcPr>
            <w:vAlign w:val="bottom"/>
          </w:tcPr>
          <w:p>
            <w:pPr>
              <w:spacing w:beforeAutospacing="true" w:afterAutospacing="true"/>
              <w:jc w:val="left"/>
            </w:pPr>
            <w:r>
              <w:rPr>
                <w:rFonts w:ascii="Calibri" w:hAnsi="Calibri"/>
                <w:color w:val="000000"/>
                <w:sz w:val="22"/>
              </w:rPr>
              <w:t xml:space="preserve">HOME Tenant Based Rental Assistance</w:t>
            </w:r>
          </w:p>
        </w:tc>
      </w:tr>
      <w:tr>
        <w:trPr>
          <w:cantSplit w:val="true"/>
        </w:trPr>
        <w:tc>
          <w:tcPr>
            <w:vAlign w:val="bottom"/>
          </w:tcPr>
          <w:p>
            <w:pPr>
              <w:spacing w:beforeAutospacing="true" w:afterAutospacing="true"/>
              <w:jc w:val="right"/>
            </w:pPr>
            <w:r>
              <w:rPr>
                <w:rFonts w:ascii="Calibri" w:hAnsi="Calibri"/>
                <w:color w:val="000000"/>
                <w:sz w:val="22"/>
              </w:rPr>
              <w:t xml:space="preserve">4</w:t>
            </w:r>
          </w:p>
        </w:tc>
        <w:tc>
          <w:tcPr>
            <w:vAlign w:val="bottom"/>
          </w:tcPr>
          <w:p>
            <w:pPr>
              <w:spacing w:beforeAutospacing="true" w:afterAutospacing="true"/>
              <w:jc w:val="left"/>
            </w:pPr>
            <w:r>
              <w:rPr>
                <w:rFonts w:ascii="Calibri" w:hAnsi="Calibri"/>
                <w:color w:val="000000"/>
                <w:sz w:val="22"/>
              </w:rPr>
              <w:t xml:space="preserve">HOME downpayment assistance</w:t>
            </w:r>
          </w:p>
        </w:tc>
      </w:tr>
      <w:tr>
        <w:trPr>
          <w:cantSplit w:val="true"/>
        </w:trPr>
        <w:tc>
          <w:tcPr>
            <w:vAlign w:val="bottom"/>
          </w:tcPr>
          <w:p>
            <w:pPr>
              <w:spacing w:beforeAutospacing="true" w:afterAutospacing="true"/>
              <w:jc w:val="right"/>
            </w:pPr>
            <w:r>
              <w:rPr>
                <w:rFonts w:ascii="Calibri" w:hAnsi="Calibri"/>
                <w:color w:val="000000"/>
                <w:sz w:val="22"/>
              </w:rPr>
              <w:t xml:space="preserve">5</w:t>
            </w:r>
          </w:p>
        </w:tc>
        <w:tc>
          <w:tcPr>
            <w:vAlign w:val="bottom"/>
          </w:tcPr>
          <w:p>
            <w:pPr>
              <w:spacing w:beforeAutospacing="true" w:afterAutospacing="true"/>
              <w:jc w:val="left"/>
            </w:pPr>
            <w:r>
              <w:rPr>
                <w:rFonts w:ascii="Calibri" w:hAnsi="Calibri"/>
                <w:color w:val="000000"/>
                <w:sz w:val="22"/>
              </w:rPr>
              <w:t xml:space="preserve">Administration</w:t>
            </w:r>
          </w:p>
        </w:tc>
      </w:tr>
      <w:tr>
        <w:trPr>
          <w:cantSplit w:val="true"/>
        </w:trPr>
        <w:tc>
          <w:tcPr>
            <w:vAlign w:val="bottom"/>
          </w:tcPr>
          <w:p>
            <w:pPr>
              <w:spacing w:beforeAutospacing="true" w:afterAutospacing="true"/>
              <w:jc w:val="right"/>
            </w:pPr>
            <w:r>
              <w:rPr>
                <w:rFonts w:ascii="Calibri" w:hAnsi="Calibri"/>
                <w:color w:val="000000"/>
                <w:sz w:val="22"/>
              </w:rPr>
              <w:t xml:space="preserve">6</w:t>
            </w:r>
          </w:p>
        </w:tc>
        <w:tc>
          <w:tcPr>
            <w:vAlign w:val="bottom"/>
          </w:tcPr>
          <w:p>
            <w:pPr>
              <w:spacing w:beforeAutospacing="true" w:afterAutospacing="true"/>
              <w:jc w:val="left"/>
            </w:pPr>
            <w:r>
              <w:rPr>
                <w:rFonts w:ascii="Calibri" w:hAnsi="Calibri"/>
                <w:color w:val="000000"/>
                <w:sz w:val="22"/>
              </w:rPr>
              <w:t xml:space="preserve">01-CDBG Affordable Housing</w:t>
            </w:r>
          </w:p>
        </w:tc>
      </w:tr>
      <w:tr>
        <w:trPr>
          <w:cantSplit w:val="true"/>
        </w:trPr>
        <w:tc>
          <w:tcPr>
            <w:vAlign w:val="bottom"/>
          </w:tcPr>
          <w:p>
            <w:pPr>
              <w:spacing w:beforeAutospacing="true" w:afterAutospacing="true"/>
              <w:jc w:val="right"/>
            </w:pPr>
            <w:r>
              <w:rPr>
                <w:rFonts w:ascii="Calibri" w:hAnsi="Calibri"/>
                <w:color w:val="000000"/>
                <w:sz w:val="22"/>
              </w:rPr>
              <w:t xml:space="preserve">7</w:t>
            </w:r>
          </w:p>
        </w:tc>
        <w:tc>
          <w:tcPr>
            <w:vAlign w:val="bottom"/>
          </w:tcPr>
          <w:p>
            <w:pPr>
              <w:spacing w:beforeAutospacing="true" w:afterAutospacing="true"/>
              <w:jc w:val="left"/>
            </w:pPr>
            <w:r>
              <w:rPr>
                <w:rFonts w:ascii="Calibri" w:hAnsi="Calibri"/>
                <w:color w:val="000000"/>
                <w:sz w:val="22"/>
              </w:rPr>
              <w:t xml:space="preserve">01-CDBG Housing Improvement Program</w:t>
            </w:r>
          </w:p>
        </w:tc>
      </w:tr>
      <w:tr>
        <w:trPr>
          <w:cantSplit w:val="true"/>
        </w:trPr>
        <w:tc>
          <w:tcPr>
            <w:vAlign w:val="bottom"/>
          </w:tcPr>
          <w:p>
            <w:pPr>
              <w:spacing w:beforeAutospacing="true" w:afterAutospacing="true"/>
              <w:jc w:val="right"/>
            </w:pPr>
            <w:r>
              <w:rPr>
                <w:rFonts w:ascii="Calibri" w:hAnsi="Calibri"/>
                <w:color w:val="000000"/>
                <w:sz w:val="22"/>
              </w:rPr>
              <w:t xml:space="preserve">8</w:t>
            </w:r>
          </w:p>
        </w:tc>
        <w:tc>
          <w:tcPr>
            <w:vAlign w:val="bottom"/>
          </w:tcPr>
          <w:p>
            <w:pPr>
              <w:spacing w:beforeAutospacing="true" w:afterAutospacing="true"/>
              <w:jc w:val="left"/>
            </w:pPr>
            <w:r>
              <w:rPr>
                <w:rFonts w:ascii="Calibri" w:hAnsi="Calibri"/>
                <w:color w:val="000000"/>
                <w:sz w:val="22"/>
              </w:rPr>
              <w:t xml:space="preserve">Action Plan Administration (CDBG)</w:t>
            </w:r>
          </w:p>
        </w:tc>
      </w:tr>
      <w:tr>
        <w:trPr>
          <w:cantSplit w:val="true"/>
        </w:trPr>
        <w:tc>
          <w:tcPr>
            <w:vAlign w:val="bottom"/>
          </w:tcPr>
          <w:p>
            <w:pPr>
              <w:spacing w:beforeAutospacing="true" w:afterAutospacing="true"/>
              <w:jc w:val="right"/>
            </w:pPr>
            <w:r>
              <w:rPr>
                <w:rFonts w:ascii="Calibri" w:hAnsi="Calibri"/>
                <w:color w:val="000000"/>
                <w:sz w:val="22"/>
              </w:rPr>
              <w:t xml:space="preserve">10</w:t>
            </w:r>
          </w:p>
        </w:tc>
        <w:tc>
          <w:tcPr>
            <w:vAlign w:val="bottom"/>
          </w:tcPr>
          <w:p>
            <w:pPr>
              <w:spacing w:beforeAutospacing="true" w:afterAutospacing="true"/>
              <w:jc w:val="left"/>
            </w:pPr>
            <w:r>
              <w:rPr>
                <w:rFonts w:ascii="Calibri" w:hAnsi="Calibri"/>
                <w:color w:val="000000"/>
                <w:sz w:val="22"/>
              </w:rPr>
              <w:t xml:space="preserve">02 &amp; 05-CDBG Public Infrastructure and Public Works</w:t>
            </w:r>
          </w:p>
        </w:tc>
      </w:tr>
      <w:tr>
        <w:trPr>
          <w:cantSplit w:val="true"/>
        </w:trPr>
        <w:tc>
          <w:tcPr>
            <w:vAlign w:val="bottom"/>
          </w:tcPr>
          <w:p>
            <w:pPr>
              <w:spacing w:beforeAutospacing="true" w:afterAutospacing="true"/>
              <w:jc w:val="right"/>
            </w:pPr>
            <w:r>
              <w:rPr>
                <w:rFonts w:ascii="Calibri" w:hAnsi="Calibri"/>
                <w:color w:val="000000"/>
                <w:sz w:val="22"/>
              </w:rPr>
              <w:t xml:space="preserve">11</w:t>
            </w:r>
          </w:p>
        </w:tc>
        <w:tc>
          <w:tcPr>
            <w:vAlign w:val="bottom"/>
          </w:tcPr>
          <w:p>
            <w:pPr>
              <w:spacing w:beforeAutospacing="true" w:afterAutospacing="true"/>
              <w:jc w:val="left"/>
            </w:pPr>
            <w:r>
              <w:rPr>
                <w:rFonts w:ascii="Calibri" w:hAnsi="Calibri"/>
                <w:color w:val="000000"/>
                <w:sz w:val="22"/>
              </w:rPr>
              <w:t xml:space="preserve">08-CDBG Private Non-Profit Facility Improvements</w:t>
            </w:r>
          </w:p>
        </w:tc>
      </w:tr>
      <w:tr>
        <w:trPr>
          <w:cantSplit w:val="true"/>
        </w:trPr>
        <w:tc>
          <w:tcPr>
            <w:vAlign w:val="bottom"/>
          </w:tcPr>
          <w:p>
            <w:pPr>
              <w:spacing w:beforeAutospacing="true" w:afterAutospacing="true"/>
              <w:jc w:val="right"/>
            </w:pPr>
            <w:r>
              <w:rPr>
                <w:rFonts w:ascii="Calibri" w:hAnsi="Calibri"/>
                <w:color w:val="000000"/>
                <w:sz w:val="22"/>
              </w:rPr>
              <w:t xml:space="preserve">12</w:t>
            </w:r>
          </w:p>
        </w:tc>
        <w:tc>
          <w:tcPr>
            <w:vAlign w:val="bottom"/>
          </w:tcPr>
          <w:p>
            <w:pPr>
              <w:spacing w:beforeAutospacing="true" w:afterAutospacing="true"/>
              <w:jc w:val="left"/>
            </w:pPr>
            <w:r>
              <w:rPr>
                <w:rFonts w:ascii="Calibri" w:hAnsi="Calibri"/>
                <w:color w:val="000000"/>
                <w:sz w:val="22"/>
              </w:rPr>
              <w:t xml:space="preserve">09-CDBG Private Non-Profit Public Services</w:t>
            </w:r>
          </w:p>
        </w:tc>
      </w:tr>
      <w:tr>
        <w:trPr>
          <w:cantSplit w:val="true"/>
        </w:trPr>
        <w:tc>
          <w:tcPr>
            <w:vAlign w:val="bottom"/>
          </w:tcPr>
          <w:p>
            <w:pPr>
              <w:spacing w:beforeAutospacing="true" w:afterAutospacing="true"/>
              <w:jc w:val="right"/>
            </w:pPr>
            <w:r>
              <w:rPr>
                <w:rFonts w:ascii="Calibri" w:hAnsi="Calibri"/>
                <w:color w:val="000000"/>
                <w:sz w:val="22"/>
              </w:rPr>
              <w:t xml:space="preserve">13</w:t>
            </w:r>
          </w:p>
        </w:tc>
        <w:tc>
          <w:tcPr>
            <w:vAlign w:val="bottom"/>
          </w:tcPr>
          <w:p>
            <w:pPr>
              <w:spacing w:beforeAutospacing="true" w:afterAutospacing="true"/>
              <w:jc w:val="left"/>
            </w:pPr>
            <w:r>
              <w:rPr>
                <w:rFonts w:ascii="Calibri" w:hAnsi="Calibri"/>
                <w:color w:val="000000"/>
                <w:sz w:val="22"/>
              </w:rPr>
              <w:t xml:space="preserve">HESG20 - Salt Lake County</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3</w:t>
        <w:fldChar w:fldCharType="end"/>
        <w:t xml:space="preserve"> – Project Information</w:t>
      </w:r>
    </w:p>
    <w:p>
      <w:pPr>
        <w:spacing w:after="0" w:line="240" w:lineRule="auto"/>
        <w:rPr>
          <w:b/>
          <w:sz w:val="24"/>
          <w:szCs w:val="24"/>
        </w:rPr>
      </w:pPr>
    </w:p>
    <w:p>
      <w:pPr>
        <w:keepNext/>
        <w:widowControl w:val="false"/>
        <w:spacing w:line="204" w:lineRule="auto"/>
        <w:rPr>
          <w:b/>
          <w:sz w:val="24"/>
          <w:szCs w:val="24"/>
        </w:rPr>
      </w:pPr>
      <w:r>
        <w:rPr>
          <w:b/>
          <w:sz w:val="24"/>
          <w:szCs w:val="24"/>
        </w:rPr>
        <w:t>Describe the reasons for allocation priorities and any obstacles to addressing underserved needs</w:t>
      </w:r>
    </w:p>
    <w:p>
      <w:pPr>
        <w:keepNext/>
        <w:widowControl w:val="false"/>
        <w:spacing w:beforeAutospacing="true" w:afterAutospacing="true"/>
        <w:rPr>
          <w:rFonts w:cs="Arial"/>
          <w:szCs w:val="24"/>
        </w:rPr>
      </w:pPr>
      <w:r>
        <w:rPr>
          <w:rFonts w:cs="Arial"/>
        </w:rPr>
        <w:t xml:space="preserve">See appendix for citizen and process used to allocated funds</w:t>
      </w:r>
    </w:p>
    <w:p>
      <w:pPr>
        <w:rPr>
          <w:rFonts w:cs="Arial"/>
        </w:rPr>
        <w:sectPr>
          <w:pgSz w:w="12240" w:h="15840" w:code="1"/>
          <w:pgMar w:top="1440" w:right="1440" w:bottom="1440" w:left="1440" w:header="720" w:footer="720" w:gutter="0"/>
          <w:cols w:space="720"/>
          <w:docGrid w:linePitch="360"/>
        </w:sectPr>
      </w:pPr>
    </w:p>
    <w:p>
      <w:pPr>
        <w:pStyle w:val="Heading2"/>
        <w:rPr>
          <w:rFonts w:ascii="Calibri" w:hAnsi="Calibri"/>
          <w:i w:val="false"/>
        </w:rPr>
      </w:pPr>
      <w:r>
        <w:rPr>
          <w:rFonts w:ascii="Calibri" w:hAnsi="Calibri"/>
          <w:i w:val="false"/>
        </w:rPr>
        <w:t>AP-38 Project Summary</w:t>
      </w:r>
    </w:p>
    <w:p>
      <w:pPr>
        <w:keepNext/>
        <w:widowControl w:val="false"/>
        <w:rPr>
          <w:b/>
          <w:sz w:val="24"/>
          <w:szCs w:val="24"/>
        </w:rPr>
      </w:pPr>
      <w:r>
        <w:rPr>
          <w:b/>
          <w:sz w:val="24"/>
          <w:szCs w:val="24"/>
        </w:rPr>
        <w:t>Project Summary Information</w:t>
      </w:r>
    </w:p>
    <w:p>
      <w:pPr>
        <w:pStyle w:val="Heading2"/>
        <w:pageBreakBefore/>
        <w:rPr>
          <w:rFonts w:asciiTheme="minorHAnsi" w:hAnsiTheme="minorHAnsi"/>
          <w:i w:val="false"/>
        </w:rPr>
        <w:sectPr>
          <w:pgSz w:w="15840" w:h="12240" w:orient="landscape" w:code="1"/>
          <w:pgMar w:top="1440" w:right="1440" w:bottom="1440" w:left="1440" w:header="720" w:footer="720" w:gutter="0"/>
          <w:cols w:space="720"/>
          <w:docGrid w:linePitch="360"/>
        </w:sectPr>
      </w:pPr>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Pr>
      <w:tblGrid/>
      <w:tr>
        <w:trPr>
          <w:cantSplit w:val="true"/>
        </w:trPr>
        <w:tc>
          <w:tcPr>
            <w:vMerge w:val="restart"/>
          </w:tcPr>
          <w:p>
            <w:r>
              <w:rPr>
                <w:b w:val="true"/>
              </w:rPr>
              <w:t>1</w:t>
            </w:r>
          </w:p>
        </w:tc>
        <w:tc>
          <w:p>
            <w:pPr>
              <w:keepNext w:val="true"/>
              <w:spacing w:before="100" w:after="0"/>
              <w:rPr>
                <w:b/>
              </w:rPr>
            </w:pPr>
            <w:r>
              <w:rPr>
                <w:b/>
              </w:rPr>
              <w:t>Project Name</w:t>
            </w:r>
          </w:p>
        </w:tc>
        <w:tc>
          <w:p>
            <w:pPr>
              <w:spacing w:before="100" w:after="0"/>
            </w:pPr>
            <w:r>
              <w:rPr>
                <w:rFonts w:ascii="Calibri" w:hAnsi="Calibri"/>
                <w:color w:val="000000"/>
                <w:sz w:val="22"/>
              </w:rPr>
              <w:t xml:space="preserve">HOME housing rehabilitation</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Housing Rehabilitation &amp; Accessibility</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Housing Rehabilitation</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HOME: $1,290,037</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HOME funds have been committed to Community Development Corporation of Utah, Assist, West Valley City, Taylorsville City, and Salt Lake Valley Habitat for Humanity to fund housing rehabilitation programs.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it is estimated at least 100 households will be assisted</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Salt Lake County except for Salt Lake City</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All of the housing rehabilitation program will follow Green and Healthy Homes Initaitive guidelines. Each of the homes assisted will receive a healthy homes assessment which will include 29 hazards assessment, a lead risk assessment when appropriate, radon as hazard assessment, safety, energy efficiency assessment, and when appropriate aging in place. All homes will be brought up to meet local property standards.</w:t>
            </w:r>
          </w:p>
        </w:tc>
      </w:tr>
      <w:tr>
        <w:trPr>
          <w:cantSplit w:val="true"/>
        </w:trPr>
        <w:tc>
          <w:tcPr>
            <w:vMerge w:val="restart"/>
          </w:tcPr>
          <w:p>
            <w:r>
              <w:rPr>
                <w:b w:val="true"/>
              </w:rPr>
              <w:t>2</w:t>
            </w:r>
          </w:p>
        </w:tc>
        <w:tc>
          <w:p>
            <w:pPr>
              <w:keepNext w:val="true"/>
              <w:spacing w:before="100" w:after="0"/>
              <w:rPr>
                <w:b/>
              </w:rPr>
            </w:pPr>
            <w:r>
              <w:rPr>
                <w:b/>
              </w:rPr>
              <w:t>Project Name</w:t>
            </w:r>
          </w:p>
        </w:tc>
        <w:tc>
          <w:p>
            <w:pPr>
              <w:spacing w:before="100" w:after="0"/>
            </w:pPr>
            <w:r>
              <w:rPr>
                <w:rFonts w:ascii="Calibri" w:hAnsi="Calibri"/>
                <w:color w:val="000000"/>
                <w:sz w:val="22"/>
              </w:rPr>
              <w:t xml:space="preserve">HOME Rental Housing</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Rental Housing</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Rental Housing</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HOME: $1,838,543</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HOME funds have been committed to funding the following rental housing projects; Taylorsville Liberty Beacon (142 units) $88,543, Magnolia (65 units) $1,000,000, 144 South Project (100 units) $250,000. and Utah Nonprofit chdo set aside preservation  project $500,000</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12/30/2011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353 rental units, of these 229 units will be affordable to households at or below 60% of ami and the remaing units are affordable to households at or below 80% of ami</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Taylorsville Libeety Beacon project is located at about 5400 South 1500 West, The Utah Nonprofit preservation of 23 duplexes are located at multiple sites throughout Salt Lake  County, Magnolia is located at 165 South 300 East, 144 South project is located at 144 South 500 East</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Three are new construction, Magnolia, 144 South, and Taylorsville Liberty Beacon. The Utah Non project of retrofitting 26 duplexes. is a preservation project.</w:t>
            </w:r>
          </w:p>
        </w:tc>
      </w:tr>
      <w:tr>
        <w:trPr>
          <w:cantSplit w:val="true"/>
        </w:trPr>
        <w:tc>
          <w:tcPr>
            <w:vMerge w:val="restart"/>
          </w:tcPr>
          <w:p>
            <w:r>
              <w:rPr>
                <w:b w:val="true"/>
              </w:rPr>
              <w:t>3</w:t>
            </w:r>
          </w:p>
        </w:tc>
        <w:tc>
          <w:p>
            <w:pPr>
              <w:keepNext w:val="true"/>
              <w:spacing w:before="100" w:after="0"/>
              <w:rPr>
                <w:b/>
              </w:rPr>
            </w:pPr>
            <w:r>
              <w:rPr>
                <w:b/>
              </w:rPr>
              <w:t>Project Name</w:t>
            </w:r>
          </w:p>
        </w:tc>
        <w:tc>
          <w:p>
            <w:pPr>
              <w:spacing w:before="100" w:after="0"/>
            </w:pPr>
            <w:r>
              <w:rPr>
                <w:rFonts w:ascii="Calibri" w:hAnsi="Calibri"/>
                <w:color w:val="000000"/>
                <w:sz w:val="22"/>
              </w:rPr>
              <w:t xml:space="preserve">HOME Tenant Based Rental Assistance</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Rental Assistance</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Rental assistance</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HOME: $550,000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HOME funds will be provided to Road Home $300,000, and Housing Connect $250,000</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It is estimated 100 households will receive short term rental assistance</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Throughout Salt Lake County</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Short term rental assistance, security deposits and utilities are provided to households at or below 60% of ami. </w:t>
            </w:r>
          </w:p>
        </w:tc>
      </w:tr>
      <w:tr>
        <w:trPr>
          <w:cantSplit w:val="true"/>
        </w:trPr>
        <w:tc>
          <w:tcPr>
            <w:vMerge w:val="restart"/>
          </w:tcPr>
          <w:p>
            <w:r>
              <w:rPr>
                <w:b w:val="true"/>
              </w:rPr>
              <w:t>4</w:t>
            </w:r>
          </w:p>
        </w:tc>
        <w:tc>
          <w:p>
            <w:pPr>
              <w:keepNext w:val="true"/>
              <w:spacing w:before="100" w:after="0"/>
              <w:rPr>
                <w:b/>
              </w:rPr>
            </w:pPr>
            <w:r>
              <w:rPr>
                <w:b/>
              </w:rPr>
              <w:t>Project Name</w:t>
            </w:r>
          </w:p>
        </w:tc>
        <w:tc>
          <w:p>
            <w:pPr>
              <w:spacing w:before="100" w:after="0"/>
            </w:pPr>
            <w:r>
              <w:rPr>
                <w:rFonts w:ascii="Calibri" w:hAnsi="Calibri"/>
                <w:color w:val="000000"/>
                <w:sz w:val="22"/>
              </w:rPr>
              <w:t xml:space="preserve">HOME downpayment assistance</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Homeownership</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Homeownership</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HOME: $117,000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West Valley City will provide $33,000 for downpayment assistance and Taylorsville will provide $84,000 for dpa</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10 households will receive down payment assistance</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West Valley City and Taylorsville City</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Downpayment assistance is provided to house holds located in West Valley City and Taylorsville City</w:t>
            </w:r>
          </w:p>
        </w:tc>
      </w:tr>
      <w:tr>
        <w:trPr>
          <w:cantSplit w:val="true"/>
        </w:trPr>
        <w:tc>
          <w:tcPr>
            <w:vMerge w:val="restart"/>
          </w:tcPr>
          <w:p>
            <w:r>
              <w:rPr>
                <w:b w:val="true"/>
              </w:rPr>
              <w:t>5</w:t>
            </w:r>
          </w:p>
        </w:tc>
        <w:tc>
          <w:p>
            <w:pPr>
              <w:keepNext w:val="true"/>
              <w:spacing w:before="100" w:after="0"/>
              <w:rPr>
                <w:b/>
              </w:rPr>
            </w:pPr>
            <w:r>
              <w:rPr>
                <w:b/>
              </w:rPr>
              <w:t>Project Name</w:t>
            </w:r>
          </w:p>
        </w:tc>
        <w:tc>
          <w:p>
            <w:pPr>
              <w:spacing w:before="100" w:after="0"/>
            </w:pPr>
            <w:r>
              <w:rPr>
                <w:rFonts w:ascii="Calibri" w:hAnsi="Calibri"/>
                <w:color w:val="000000"/>
                <w:sz w:val="22"/>
              </w:rPr>
              <w:t xml:space="preserve">Administration</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Housing Rehabilitation &amp; Accessibility</w:t>
            </w:r>
            <w:r>
              <w:rPr>
                <w:rFonts w:ascii="Calibri" w:hAnsi="Calibri"/>
                <w:color w:val="000000"/>
                <w:sz w:val="22"/>
              </w:rPr>
              <w:br/>
              <w:t xml:space="preserve"/>
            </w:r>
            <w:r>
              <w:rPr>
                <w:rFonts w:ascii="Calibri" w:hAnsi="Calibri"/>
                <w:color w:val="000000"/>
                <w:sz w:val="22"/>
              </w:rPr>
              <w:t xml:space="preserve">Rental Housing</w:t>
            </w:r>
            <w:r>
              <w:rPr>
                <w:rFonts w:ascii="Calibri" w:hAnsi="Calibri"/>
                <w:color w:val="000000"/>
                <w:sz w:val="22"/>
              </w:rPr>
              <w:br/>
              <w:t xml:space="preserve"/>
            </w: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Homeownership</w:t>
            </w:r>
            <w:r>
              <w:rPr>
                <w:rFonts w:ascii="Calibri" w:hAnsi="Calibri"/>
                <w:color w:val="000000"/>
                <w:sz w:val="22"/>
              </w:rPr>
              <w:br/>
              <w:t xml:space="preserve"/>
            </w:r>
            <w:r>
              <w:rPr>
                <w:rFonts w:ascii="Calibri" w:hAnsi="Calibri"/>
                <w:color w:val="000000"/>
                <w:sz w:val="22"/>
              </w:rPr>
              <w:t xml:space="preserve">Infrastructure</w:t>
            </w:r>
            <w:r>
              <w:rPr>
                <w:rFonts w:ascii="Calibri" w:hAnsi="Calibri"/>
                <w:color w:val="000000"/>
                <w:sz w:val="22"/>
              </w:rPr>
              <w:br/>
              <w:t xml:space="preserve"/>
            </w: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Stability and safety</w:t>
            </w:r>
            <w:r>
              <w:rPr>
                <w:rFonts w:ascii="Calibri" w:hAnsi="Calibri"/>
                <w:color w:val="000000"/>
                <w:sz w:val="22"/>
              </w:rPr>
              <w:br/>
              <w:t xml:space="preserve"/>
            </w:r>
            <w:r>
              <w:rPr>
                <w:rFonts w:ascii="Calibri" w:hAnsi="Calibri"/>
                <w:color w:val="000000"/>
                <w:sz w:val="22"/>
              </w:rPr>
              <w:t xml:space="preserve">Economic stability</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Housing Rehabilitation</w:t>
            </w:r>
            <w:r>
              <w:rPr>
                <w:rFonts w:ascii="Calibri" w:hAnsi="Calibri"/>
                <w:color w:val="000000"/>
                <w:sz w:val="22"/>
              </w:rPr>
              <w:br/>
              <w:t xml:space="preserve"/>
            </w:r>
            <w:r>
              <w:rPr>
                <w:rFonts w:ascii="Calibri" w:hAnsi="Calibri"/>
                <w:color w:val="000000"/>
                <w:sz w:val="22"/>
              </w:rPr>
              <w:t xml:space="preserve">Rental Housing</w:t>
            </w:r>
            <w:r>
              <w:rPr>
                <w:rFonts w:ascii="Calibri" w:hAnsi="Calibri"/>
                <w:color w:val="000000"/>
                <w:sz w:val="22"/>
              </w:rPr>
              <w:br/>
              <w:t xml:space="preserve"/>
            </w: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Homeownership</w:t>
            </w:r>
            <w:r>
              <w:rPr>
                <w:rFonts w:ascii="Calibri" w:hAnsi="Calibri"/>
                <w:color w:val="000000"/>
                <w:sz w:val="22"/>
              </w:rPr>
              <w:br/>
              <w:t xml:space="preserve"/>
            </w:r>
            <w:r>
              <w:rPr>
                <w:rFonts w:ascii="Calibri" w:hAnsi="Calibri"/>
                <w:color w:val="000000"/>
                <w:sz w:val="22"/>
              </w:rPr>
              <w:t xml:space="preserve">Infrastructure</w:t>
            </w:r>
            <w:r>
              <w:rPr>
                <w:rFonts w:ascii="Calibri" w:hAnsi="Calibri"/>
                <w:color w:val="000000"/>
                <w:sz w:val="22"/>
              </w:rPr>
              <w:br/>
              <w:t xml:space="preserve"/>
            </w: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Stability and Safety</w:t>
            </w:r>
            <w:r>
              <w:rPr>
                <w:rFonts w:ascii="Calibri" w:hAnsi="Calibri"/>
                <w:color w:val="000000"/>
                <w:sz w:val="22"/>
              </w:rPr>
              <w:br/>
              <w:t xml:space="preserve"/>
            </w:r>
            <w:r>
              <w:rPr>
                <w:rFonts w:ascii="Calibri" w:hAnsi="Calibri"/>
                <w:color w:val="000000"/>
                <w:sz w:val="22"/>
              </w:rPr>
              <w:t xml:space="preserve">Economic  Stability</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HOME: $375,059</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Salt Lake County will use HOME funds to cover the cost of administering this program</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it is estimated that through HOME funds: 100 very low income households will be assisted through the funding of TBRA programs (Road Home, Housing Connect), four rental housing projecrs will assistance to help fund the Taylorsville Liberty Beacon (142 units), Magnolia (65 units for very low income households), 144 South (100 units very low income, low income and moderate incone), Utah Nonprofit Preservation of 23 duplexes. Downpayment assistance will be provided to 10 moderate income housholds through West Valley City and Taylorsville City.  100 low and moderate income housesholds will receive funding through to Salt Lake Valley Habitat for Humanity, and CDCU to make their homes healthy and safe.</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Salt Lake County will use these funds to cover the cost of administering the HOME program</w:t>
            </w:r>
          </w:p>
        </w:tc>
      </w:tr>
      <w:tr>
        <w:trPr>
          <w:cantSplit w:val="true"/>
        </w:trPr>
        <w:tc>
          <w:tcPr>
            <w:vMerge w:val="restart"/>
          </w:tcPr>
          <w:p>
            <w:r>
              <w:rPr>
                <w:b w:val="true"/>
              </w:rPr>
              <w:t>6</w:t>
            </w:r>
          </w:p>
        </w:tc>
        <w:tc>
          <w:p>
            <w:pPr>
              <w:keepNext w:val="true"/>
              <w:spacing w:before="100" w:after="0"/>
              <w:rPr>
                <w:b/>
              </w:rPr>
            </w:pPr>
            <w:r>
              <w:rPr>
                <w:b/>
              </w:rPr>
              <w:t>Project Name</w:t>
            </w:r>
          </w:p>
        </w:tc>
        <w:tc>
          <w:p>
            <w:pPr>
              <w:spacing w:before="100" w:after="0"/>
            </w:pPr>
            <w:r>
              <w:rPr>
                <w:rFonts w:ascii="Calibri" w:hAnsi="Calibri"/>
                <w:color w:val="000000"/>
                <w:sz w:val="22"/>
              </w:rPr>
              <w:t xml:space="preserve">01-CDBG Affordable Housing</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Homeownership</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Homeownership</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$204,741</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Funds may be allocated to activities that provide Home Ownership through Down Payment Assistance and Property Acquisition for Housing Development.</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56 LMI households (families) will benefit from down payment assistance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Community Development Corporation (CDC) will provide DPA to 50 LMI households</w:t>
            </w:r>
          </w:p>
          <w:p>
            <w:pPr>
              <w:spacing w:before="100" w:after="0"/>
            </w:pPr>
            <w:r>
              <w:rPr>
                <w:rFonts w:ascii="Calibri" w:hAnsi="Calibri"/>
                <w:color w:val="000000"/>
                <w:sz w:val="22"/>
              </w:rPr>
              <w:t xml:space="preserve">International Rescue Committee (IRS) will provide Down Payment Assistance (DPA) to 6 LMI households.  </w:t>
            </w:r>
          </w:p>
        </w:tc>
      </w:tr>
      <w:tr>
        <w:trPr>
          <w:cantSplit w:val="true"/>
        </w:trPr>
        <w:tc>
          <w:tcPr>
            <w:vMerge w:val="restart"/>
          </w:tcPr>
          <w:p>
            <w:r>
              <w:rPr>
                <w:b w:val="true"/>
              </w:rPr>
              <w:t>7</w:t>
            </w:r>
          </w:p>
        </w:tc>
        <w:tc>
          <w:p>
            <w:pPr>
              <w:keepNext w:val="true"/>
              <w:spacing w:before="100" w:after="0"/>
              <w:rPr>
                <w:b/>
              </w:rPr>
            </w:pPr>
            <w:r>
              <w:rPr>
                <w:b/>
              </w:rPr>
              <w:t>Project Name</w:t>
            </w:r>
          </w:p>
        </w:tc>
        <w:tc>
          <w:p>
            <w:pPr>
              <w:spacing w:before="100" w:after="0"/>
            </w:pPr>
            <w:r>
              <w:rPr>
                <w:rFonts w:ascii="Calibri" w:hAnsi="Calibri"/>
                <w:color w:val="000000"/>
                <w:sz w:val="22"/>
              </w:rPr>
              <w:t xml:space="preserve">01-CDBG Housing Improvement Program</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Housing Rehabilitation &amp; Accessibility</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Housing Rehabilitation</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$495,000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Housing Rehabilitation, Emergency Home Repair Program and Accessibility Improvements to single family homes.  CDBG activities will include: Assist, Inc. Emergency Home Repair Program and Accessibility and Project Delivery.</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150 low income households (below 80% AMI), elderly and persons with disabilities</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Salt Lake Urban County</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 Emergency Home Repairs: 200 repairs for 150 unique households</w:t>
            </w:r>
            <w:r>
              <w:rPr>
                <w:rFonts w:ascii="Calibri" w:hAnsi="Calibri"/>
                <w:color w:val="000000"/>
                <w:sz w:val="22"/>
              </w:rPr>
              <w:br/>
              <w:t xml:space="preserve"/>
            </w:r>
            <w:r>
              <w:rPr>
                <w:rFonts w:ascii="Calibri" w:hAnsi="Calibri"/>
                <w:color w:val="000000"/>
                <w:sz w:val="22"/>
              </w:rPr>
              <w:t xml:space="preserve">- Accessible Design Assistance: 80 design proposals and modifications</w:t>
            </w:r>
            <w:r>
              <w:rPr>
                <w:rFonts w:ascii="Calibri" w:hAnsi="Calibri"/>
                <w:color w:val="000000"/>
                <w:sz w:val="22"/>
              </w:rPr>
              <w:br/>
              <w:t xml:space="preserve"/>
            </w:r>
            <w:r>
              <w:rPr>
                <w:rFonts w:ascii="Calibri" w:hAnsi="Calibri"/>
                <w:color w:val="000000"/>
                <w:sz w:val="22"/>
              </w:rPr>
              <w:t xml:space="preserve">- Community Design Assistance: Architectural or Planning Services for 4 community projects</w:t>
            </w:r>
          </w:p>
        </w:tc>
      </w:tr>
      <w:tr>
        <w:trPr>
          <w:cantSplit w:val="true"/>
        </w:trPr>
        <w:tc>
          <w:tcPr>
            <w:vMerge w:val="restart"/>
          </w:tcPr>
          <w:p>
            <w:r>
              <w:rPr>
                <w:b w:val="true"/>
              </w:rPr>
              <w:t>8</w:t>
            </w:r>
          </w:p>
        </w:tc>
        <w:tc>
          <w:p>
            <w:pPr>
              <w:keepNext w:val="true"/>
              <w:spacing w:before="100" w:after="0"/>
              <w:rPr>
                <w:b/>
              </w:rPr>
            </w:pPr>
            <w:r>
              <w:rPr>
                <w:b/>
              </w:rPr>
              <w:t>Project Name</w:t>
            </w:r>
          </w:p>
        </w:tc>
        <w:tc>
          <w:p>
            <w:pPr>
              <w:spacing w:before="100" w:after="0"/>
            </w:pPr>
            <w:r>
              <w:rPr>
                <w:rFonts w:ascii="Calibri" w:hAnsi="Calibri"/>
                <w:color w:val="000000"/>
                <w:sz w:val="22"/>
              </w:rPr>
              <w:t xml:space="preserve">Action Plan Administration (CDBG)</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Housing Rehabilitation &amp; Accessibility</w:t>
            </w:r>
            <w:r>
              <w:rPr>
                <w:rFonts w:ascii="Calibri" w:hAnsi="Calibri"/>
                <w:color w:val="000000"/>
                <w:sz w:val="22"/>
              </w:rPr>
              <w:br/>
              <w:t xml:space="preserve"/>
            </w:r>
            <w:r>
              <w:rPr>
                <w:rFonts w:ascii="Calibri" w:hAnsi="Calibri"/>
                <w:color w:val="000000"/>
                <w:sz w:val="22"/>
              </w:rPr>
              <w:t xml:space="preserve">Rental Housing</w:t>
            </w:r>
            <w:r>
              <w:rPr>
                <w:rFonts w:ascii="Calibri" w:hAnsi="Calibri"/>
                <w:color w:val="000000"/>
                <w:sz w:val="22"/>
              </w:rPr>
              <w:br/>
              <w:t xml:space="preserve"/>
            </w: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Homeownership</w:t>
            </w:r>
            <w:r>
              <w:rPr>
                <w:rFonts w:ascii="Calibri" w:hAnsi="Calibri"/>
                <w:color w:val="000000"/>
                <w:sz w:val="22"/>
              </w:rPr>
              <w:br/>
              <w:t xml:space="preserve"/>
            </w:r>
            <w:r>
              <w:rPr>
                <w:rFonts w:ascii="Calibri" w:hAnsi="Calibri"/>
                <w:color w:val="000000"/>
                <w:sz w:val="22"/>
              </w:rPr>
              <w:t xml:space="preserve">Infrastructure</w:t>
            </w:r>
            <w:r>
              <w:rPr>
                <w:rFonts w:ascii="Calibri" w:hAnsi="Calibri"/>
                <w:color w:val="000000"/>
                <w:sz w:val="22"/>
              </w:rPr>
              <w:br/>
              <w:t xml:space="preserve"/>
            </w: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Stability and safety</w:t>
            </w:r>
            <w:r>
              <w:rPr>
                <w:rFonts w:ascii="Calibri" w:hAnsi="Calibri"/>
                <w:color w:val="000000"/>
                <w:sz w:val="22"/>
              </w:rPr>
              <w:br/>
              <w:t xml:space="preserve"/>
            </w:r>
            <w:r>
              <w:rPr>
                <w:rFonts w:ascii="Calibri" w:hAnsi="Calibri"/>
                <w:color w:val="000000"/>
                <w:sz w:val="22"/>
              </w:rPr>
              <w:t xml:space="preserve">Economic stability</w:t>
            </w:r>
            <w:r>
              <w:rPr>
                <w:rFonts w:ascii="Calibri" w:hAnsi="Calibri"/>
                <w:color w:val="000000"/>
                <w:sz w:val="22"/>
              </w:rPr>
              <w:br/>
              <w:t xml:space="preserve"/>
            </w:r>
            <w:r>
              <w:rPr>
                <w:rFonts w:ascii="Calibri" w:hAnsi="Calibri"/>
                <w:color w:val="000000"/>
                <w:sz w:val="22"/>
              </w:rPr>
              <w:t xml:space="preserve">Administration of HOME, ESG and CDBG</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Housing Rehabilitation</w:t>
            </w:r>
            <w:r>
              <w:rPr>
                <w:rFonts w:ascii="Calibri" w:hAnsi="Calibri"/>
                <w:color w:val="000000"/>
                <w:sz w:val="22"/>
              </w:rPr>
              <w:br/>
              <w:t xml:space="preserve"/>
            </w:r>
            <w:r>
              <w:rPr>
                <w:rFonts w:ascii="Calibri" w:hAnsi="Calibri"/>
                <w:color w:val="000000"/>
                <w:sz w:val="22"/>
              </w:rPr>
              <w:t xml:space="preserve">Rental Housing</w:t>
            </w:r>
            <w:r>
              <w:rPr>
                <w:rFonts w:ascii="Calibri" w:hAnsi="Calibri"/>
                <w:color w:val="000000"/>
                <w:sz w:val="22"/>
              </w:rPr>
              <w:br/>
              <w:t xml:space="preserve"/>
            </w: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Homeownership</w:t>
            </w:r>
            <w:r>
              <w:rPr>
                <w:rFonts w:ascii="Calibri" w:hAnsi="Calibri"/>
                <w:color w:val="000000"/>
                <w:sz w:val="22"/>
              </w:rPr>
              <w:br/>
              <w:t xml:space="preserve"/>
            </w:r>
            <w:r>
              <w:rPr>
                <w:rFonts w:ascii="Calibri" w:hAnsi="Calibri"/>
                <w:color w:val="000000"/>
                <w:sz w:val="22"/>
              </w:rPr>
              <w:t xml:space="preserve">Infrastructure</w:t>
            </w:r>
            <w:r>
              <w:rPr>
                <w:rFonts w:ascii="Calibri" w:hAnsi="Calibri"/>
                <w:color w:val="000000"/>
                <w:sz w:val="22"/>
              </w:rPr>
              <w:br/>
              <w:t xml:space="preserve"/>
            </w: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Stability and Safety</w:t>
            </w:r>
            <w:r>
              <w:rPr>
                <w:rFonts w:ascii="Calibri" w:hAnsi="Calibri"/>
                <w:color w:val="000000"/>
                <w:sz w:val="22"/>
              </w:rPr>
              <w:br/>
              <w:t xml:space="preserve"/>
            </w:r>
            <w:r>
              <w:rPr>
                <w:rFonts w:ascii="Calibri" w:hAnsi="Calibri"/>
                <w:color w:val="000000"/>
                <w:sz w:val="22"/>
              </w:rPr>
              <w:t xml:space="preserve">Economic  Stability</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$505,714</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Funds will be used to administer the CDBG Programs.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Administrative funds to support all activities in the FY20 Action Plan for the CDBG program</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Salt Lake Urban County</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Administrative program management costs for FY20 CDBG</w:t>
            </w:r>
          </w:p>
        </w:tc>
      </w:tr>
      <w:tr>
        <w:trPr>
          <w:cantSplit w:val="true"/>
        </w:trPr>
        <w:tc>
          <w:tcPr>
            <w:vMerge w:val="restart"/>
          </w:tcPr>
          <w:p>
            <w:r>
              <w:rPr>
                <w:b w:val="true"/>
              </w:rPr>
              <w:t>9</w:t>
            </w:r>
          </w:p>
        </w:tc>
        <w:tc>
          <w:p>
            <w:pPr>
              <w:keepNext w:val="true"/>
              <w:spacing w:before="100" w:after="0"/>
              <w:rPr>
                <w:b/>
              </w:rPr>
            </w:pPr>
            <w:r>
              <w:rPr>
                <w:b/>
              </w:rPr>
              <w:t>Project Name</w:t>
            </w:r>
          </w:p>
        </w:tc>
        <w:tc>
          <w:p>
            <w:pPr>
              <w:spacing w:before="100" w:after="0"/>
            </w:pPr>
            <w:r>
              <w:rPr>
                <w:rFonts w:ascii="Calibri" w:hAnsi="Calibri"/>
                <w:color w:val="000000"/>
                <w:sz w:val="22"/>
              </w:rPr>
              <w:t xml:space="preserve">02 &amp; 05-CDBG Public Infrastructure and Public Works</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Infrastructure</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Infrastructure</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$755,000</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Infrastructure Improvements including streets, sidewalks, parks, etc.</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It is estimated that 10,379 individuals in Low-Mod Areas will benefit from the infrastructure improvements in South Salt Lake, Magna, Midvale City &amp; Millcreek City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South Salt Lake City (Main Street from 3700 - 3900 S in zip code 84115), Magna (west side of 8950 West between 2700 South and 2800 South in zip code 84044) , Midvale City (multiple locations), Millcreek City (4013 South 700 West in zip code 84107)</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South Salt Lake City:  Project will add street and pedestrian lighting on Main Street from 3700-3900 S in zip code 84115.</w:t>
            </w:r>
          </w:p>
          <w:p>
            <w:pPr>
              <w:spacing w:before="100" w:after="0"/>
            </w:pPr>
            <w:r>
              <w:rPr>
                <w:rFonts w:ascii="Calibri" w:hAnsi="Calibri"/>
                <w:color w:val="000000"/>
                <w:sz w:val="22"/>
              </w:rPr>
              <w:t xml:space="preserve">Magna:  Replace crumbling and deteriorated sidewalks located along the west side of 8950 West, between 2700 South and 2800 South in Magna, Utah 84044. </w:t>
            </w:r>
          </w:p>
          <w:p>
            <w:pPr>
              <w:spacing w:before="100" w:after="0"/>
            </w:pPr>
            <w:r>
              <w:rPr>
                <w:rFonts w:ascii="Calibri" w:hAnsi="Calibri"/>
                <w:color w:val="000000"/>
                <w:sz w:val="22"/>
              </w:rPr>
              <w:t xml:space="preserve">Midvale City:  Provide pedestrian ramps which are ADA compliant</w:t>
            </w:r>
          </w:p>
          <w:p>
            <w:pPr>
              <w:spacing w:before="100" w:after="0"/>
            </w:pPr>
            <w:r>
              <w:rPr>
                <w:rFonts w:ascii="Calibri" w:hAnsi="Calibri"/>
                <w:color w:val="000000"/>
                <w:sz w:val="22"/>
              </w:rPr>
              <w:t xml:space="preserve">Sunnyvale Park in Millcreek City:  Lighting and playground expansion</w:t>
            </w:r>
          </w:p>
          <w:p>
            <w:pPr>
              <w:spacing w:before="100" w:after="0"/>
            </w:pPr>
          </w:p>
        </w:tc>
      </w:tr>
      <w:tr>
        <w:trPr>
          <w:cantSplit w:val="true"/>
        </w:trPr>
        <w:tc>
          <w:tcPr>
            <w:vMerge w:val="restart"/>
          </w:tcPr>
          <w:p>
            <w:r>
              <w:rPr>
                <w:b w:val="true"/>
              </w:rPr>
              <w:t>10</w:t>
            </w:r>
          </w:p>
        </w:tc>
        <w:tc>
          <w:p>
            <w:pPr>
              <w:keepNext w:val="true"/>
              <w:spacing w:before="100" w:after="0"/>
              <w:rPr>
                <w:b/>
              </w:rPr>
            </w:pPr>
            <w:r>
              <w:rPr>
                <w:b/>
              </w:rPr>
              <w:t>Project Name</w:t>
            </w:r>
          </w:p>
        </w:tc>
        <w:tc>
          <w:p>
            <w:pPr>
              <w:spacing w:before="100" w:after="0"/>
            </w:pPr>
            <w:r>
              <w:rPr>
                <w:rFonts w:ascii="Calibri" w:hAnsi="Calibri"/>
                <w:color w:val="000000"/>
                <w:sz w:val="22"/>
              </w:rPr>
              <w:t xml:space="preserve">08-CDBG Private Non-Profit Facility Improvements</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Stability and safety</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Public Facilities</w:t>
            </w:r>
            <w:r>
              <w:rPr>
                <w:rFonts w:ascii="Calibri" w:hAnsi="Calibri"/>
                <w:color w:val="000000"/>
                <w:sz w:val="22"/>
              </w:rPr>
              <w:br/>
              <w:t xml:space="preserve"/>
            </w:r>
            <w:r>
              <w:rPr>
                <w:rFonts w:ascii="Calibri" w:hAnsi="Calibri"/>
                <w:color w:val="000000"/>
                <w:sz w:val="22"/>
              </w:rPr>
              <w:t xml:space="preserve">Stability and Safety</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$465,259</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Funds will be utilized to provide improvements to facilities utilized by Non-Profit Agencies that provide services to homeless and/or low- and moderate-income people.  Funds may also be used for engineering and architectural needs for new homeless facility resource centers.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It is estimated that 1648 LMI clients will benefit from receiving services at the improved facilities in the FY20 program year,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Guadalupe School: 1385 North 1200 West, Salt Lake City, UT  84116</w:t>
            </w:r>
          </w:p>
          <w:p>
            <w:pPr>
              <w:spacing w:before="100" w:after="0"/>
            </w:pPr>
            <w:r>
              <w:rPr>
                <w:rFonts w:ascii="Calibri" w:hAnsi="Calibri"/>
                <w:color w:val="000000"/>
                <w:sz w:val="22"/>
              </w:rPr>
              <w:t xml:space="preserve">Project Reality: 150 East 700 South, Salt Lake City,  UT  84111</w:t>
            </w:r>
          </w:p>
          <w:p>
            <w:pPr>
              <w:spacing w:before="100" w:after="0"/>
            </w:pPr>
            <w:r>
              <w:rPr>
                <w:rFonts w:ascii="Calibri" w:hAnsi="Calibri"/>
                <w:color w:val="000000"/>
                <w:sz w:val="22"/>
              </w:rPr>
              <w:t xml:space="preserve">The INN Between: 1216 East 1300 South Salt Lake City, UT  84105   </w:t>
            </w:r>
          </w:p>
          <w:p>
            <w:pPr>
              <w:spacing w:before="100" w:after="0"/>
            </w:pPr>
            <w:r>
              <w:rPr>
                <w:rFonts w:ascii="Calibri" w:hAnsi="Calibri"/>
                <w:color w:val="000000"/>
                <w:sz w:val="22"/>
              </w:rPr>
              <w:t xml:space="preserve">Odyssey House:  Salt Lake City, UT  84111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Funds will provide critical fire safety equipment and ADA access, and facility improvements for non-profit agencies that serve the homeless and those that are struggling to overcome opioid addiction.</w:t>
            </w:r>
          </w:p>
        </w:tc>
      </w:tr>
      <w:tr>
        <w:trPr>
          <w:cantSplit w:val="true"/>
        </w:trPr>
        <w:tc>
          <w:tcPr>
            <w:vMerge w:val="restart"/>
          </w:tcPr>
          <w:p>
            <w:r>
              <w:rPr>
                <w:b w:val="true"/>
              </w:rPr>
              <w:t>11</w:t>
            </w:r>
          </w:p>
        </w:tc>
        <w:tc>
          <w:p>
            <w:pPr>
              <w:keepNext w:val="true"/>
              <w:spacing w:before="100" w:after="0"/>
              <w:rPr>
                <w:b/>
              </w:rPr>
            </w:pPr>
            <w:r>
              <w:rPr>
                <w:b/>
              </w:rPr>
              <w:t>Project Name</w:t>
            </w:r>
          </w:p>
        </w:tc>
        <w:tc>
          <w:p>
            <w:pPr>
              <w:spacing w:before="100" w:after="0"/>
            </w:pPr>
            <w:r>
              <w:rPr>
                <w:rFonts w:ascii="Calibri" w:hAnsi="Calibri"/>
                <w:color w:val="000000"/>
                <w:sz w:val="22"/>
              </w:rPr>
              <w:t xml:space="preserve">09-CDBG Private Non-Profit Public Services</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Economic stability</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Stability and Safety</w:t>
            </w:r>
            <w:r>
              <w:rPr>
                <w:rFonts w:ascii="Calibri" w:hAnsi="Calibri"/>
                <w:color w:val="000000"/>
                <w:sz w:val="22"/>
              </w:rPr>
              <w:br/>
              <w:t xml:space="preserve"/>
            </w:r>
            <w:r>
              <w:rPr>
                <w:rFonts w:ascii="Calibri" w:hAnsi="Calibri"/>
                <w:color w:val="000000"/>
                <w:sz w:val="22"/>
              </w:rPr>
              <w:t xml:space="preserve">Economic  Stability</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CDBG: $379,076</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Funds will be used to provide assistance to Non-Profit agencies to provide services that meet specific outcomes identified through the Needs Assessment and the County Goals and Priorities.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It is estimated that 3749 LMI clients will benefit from public services provided by non-profit agencies which serve those who are underserved or vulnerable, including those who are homeless, have disabilities, those who are fleeing domestic violence or have experienced sexual violence, those who are struggling with mental health and substance abuse issues, and refugee and new Americans entrepreneurs.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Columbus Foundation: 3495 S. West Temple and in the community</w:t>
            </w:r>
          </w:p>
          <w:p>
            <w:pPr>
              <w:spacing w:before="100" w:after="0"/>
            </w:pPr>
            <w:r>
              <w:rPr>
                <w:rFonts w:ascii="Calibri" w:hAnsi="Calibri"/>
                <w:color w:val="000000"/>
                <w:sz w:val="22"/>
              </w:rPr>
              <w:t xml:space="preserve">First Step House: </w:t>
            </w:r>
            <w:r>
              <w:rPr>
                <w:rFonts w:ascii="Calibri" w:hAnsi="Calibri"/>
                <w:color w:val="000000"/>
                <w:sz w:val="22"/>
              </w:rPr>
              <w:t xml:space="preserve">411 N. Grant Street, Salt Lake City 84116 - FSH Residential Treatment Facility; 440 S. 500 E., Salt Lake City 84111 - Recovery Campus/Veterans' Services; 2200 South State St., South Salt Lake 84115 - Outpatient Facility</w:t>
            </w:r>
          </w:p>
          <w:p>
            <w:pPr>
              <w:spacing w:before="100" w:after="0"/>
            </w:pPr>
            <w:r>
              <w:rPr>
                <w:rFonts w:ascii="Calibri" w:hAnsi="Calibri"/>
                <w:color w:val="000000"/>
                <w:sz w:val="22"/>
              </w:rPr>
              <w:t xml:space="preserve">International Rescue Committee: </w:t>
            </w:r>
            <w:r>
              <w:rPr>
                <w:rFonts w:ascii="Calibri" w:hAnsi="Calibri"/>
                <w:color w:val="000000"/>
                <w:sz w:val="22"/>
              </w:rPr>
              <w:t xml:space="preserve">Spice Kitchen Incubator located at 350 W 600 S, SLC, UT. </w:t>
            </w:r>
          </w:p>
          <w:p>
            <w:pPr>
              <w:spacing w:before="100" w:after="0"/>
            </w:pPr>
            <w:r>
              <w:rPr>
                <w:rFonts w:ascii="Calibri" w:hAnsi="Calibri"/>
                <w:color w:val="000000"/>
                <w:sz w:val="22"/>
              </w:rPr>
              <w:t xml:space="preserve">Rape Recovery Center:  2035 South 1300 East, Salt Lake City 84105</w:t>
            </w:r>
            <w:r>
              <w:rPr>
                <w:rFonts w:ascii="Calibri" w:hAnsi="Calibri"/>
                <w:color w:val="000000"/>
                <w:sz w:val="22"/>
              </w:rPr>
              <w:br/>
              <w:t xml:space="preserve"/>
            </w:r>
            <w:r>
              <w:rPr>
                <w:rFonts w:ascii="Calibri" w:hAnsi="Calibri"/>
                <w:color w:val="000000"/>
                <w:sz w:val="22"/>
              </w:rPr>
              <w:br/>
              <w:t xml:space="preserve"/>
            </w:r>
          </w:p>
          <w:p>
            <w:pPr>
              <w:spacing w:before="100" w:after="0"/>
            </w:pPr>
            <w:r>
              <w:rPr>
                <w:rFonts w:ascii="Calibri" w:hAnsi="Calibri"/>
                <w:color w:val="000000"/>
                <w:sz w:val="22"/>
              </w:rPr>
              <w:t xml:space="preserve">South Valley Services:  Non-disclosed location to protect domestic violence survivors</w:t>
            </w:r>
          </w:p>
          <w:p>
            <w:pPr>
              <w:spacing w:before="100" w:after="0"/>
            </w:pPr>
            <w:r>
              <w:rPr>
                <w:rFonts w:ascii="Calibri" w:hAnsi="Calibri"/>
                <w:color w:val="000000"/>
                <w:sz w:val="22"/>
              </w:rPr>
              <w:t xml:space="preserve">The INN Between: 1216 East 1300 South, Salt Lake City, Utah 84105</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Public service activities including case management, employment support, and advocacy.</w:t>
            </w:r>
          </w:p>
          <w:p>
            <w:pPr>
              <w:spacing w:before="100" w:after="0"/>
            </w:pPr>
          </w:p>
        </w:tc>
      </w:tr>
      <w:tr>
        <w:trPr>
          <w:cantSplit w:val="true"/>
        </w:trPr>
        <w:tc>
          <w:tcPr>
            <w:vMerge w:val="restart"/>
          </w:tcPr>
          <w:p>
            <w:r>
              <w:rPr>
                <w:b w:val="true"/>
              </w:rPr>
              <w:t>12</w:t>
            </w:r>
          </w:p>
        </w:tc>
        <w:tc>
          <w:p>
            <w:pPr>
              <w:keepNext w:val="true"/>
              <w:spacing w:before="100" w:after="0"/>
              <w:rPr>
                <w:b/>
              </w:rPr>
            </w:pPr>
            <w:r>
              <w:rPr>
                <w:b/>
              </w:rPr>
              <w:t>Project Name</w:t>
            </w:r>
          </w:p>
        </w:tc>
        <w:tc>
          <w:p>
            <w:pPr>
              <w:spacing w:before="100" w:after="0"/>
            </w:pPr>
            <w:r>
              <w:rPr>
                <w:rFonts w:ascii="Calibri" w:hAnsi="Calibri"/>
                <w:color w:val="000000"/>
                <w:sz w:val="22"/>
              </w:rPr>
              <w:t xml:space="preserve">HESG20 - Salt Lake County</w:t>
            </w:r>
          </w:p>
        </w:tc>
      </w:tr>
      <w:tr>
        <w:trPr>
          <w:cantSplit w:val="true"/>
        </w:trPr>
        <w:tc>
          <w:tcPr>
            <w:vMerge/>
          </w:tcPr>
          <w:p/>
        </w:tc>
        <w:tc>
          <w:p>
            <w:pPr>
              <w:keepNext w:val="true"/>
              <w:spacing w:before="100" w:after="0"/>
              <w:rPr>
                <w:b/>
              </w:rPr>
            </w:pPr>
            <w:r>
              <w:rPr>
                <w:b/>
              </w:rPr>
              <w:t>Target Area</w:t>
            </w:r>
          </w:p>
        </w:tc>
        <w:tc>
          <w:p>
            <w:pPr>
              <w:spacing w:before="100" w:after="0"/>
            </w:pPr>
            <w:r>
              <w:rPr>
                <w:rFonts w:ascii="Calibri" w:hAnsi="Calibri"/>
                <w:color w:val="000000"/>
                <w:sz w:val="22"/>
              </w:rPr>
              <w:t xml:space="preserve">Salt Lake County</w:t>
            </w:r>
          </w:p>
        </w:tc>
      </w:tr>
      <w:tr>
        <w:trPr>
          <w:cantSplit w:val="true"/>
        </w:trPr>
        <w:tc>
          <w:tcPr>
            <w:vMerge/>
          </w:tcPr>
          <w:p/>
        </w:tc>
        <w:tc>
          <w:p>
            <w:pPr>
              <w:keepNext w:val="true"/>
              <w:spacing w:before="100" w:after="0"/>
              <w:rPr>
                <w:b/>
              </w:rPr>
            </w:pPr>
            <w:r>
              <w:rPr>
                <w:b/>
              </w:rPr>
              <w:t>Goals Supported</w:t>
            </w:r>
          </w:p>
        </w:tc>
        <w:tc>
          <w:p>
            <w:pPr>
              <w:spacing w:before="100" w:after="0"/>
            </w:pP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Stability and safety</w:t>
            </w:r>
          </w:p>
        </w:tc>
      </w:tr>
      <w:tr>
        <w:trPr>
          <w:cantSplit w:val="true"/>
        </w:trPr>
        <w:tc>
          <w:tcPr>
            <w:vMerge/>
          </w:tcPr>
          <w:p/>
        </w:tc>
        <w:tc>
          <w:p>
            <w:pPr>
              <w:keepNext w:val="true"/>
              <w:spacing w:before="100" w:after="0"/>
              <w:rPr>
                <w:b/>
              </w:rPr>
            </w:pPr>
            <w:r>
              <w:rPr>
                <w:b/>
              </w:rPr>
              <w:t>Needs Addressed</w:t>
            </w:r>
          </w:p>
        </w:tc>
        <w:tc>
          <w:p>
            <w:pPr>
              <w:spacing w:before="100" w:after="0"/>
            </w:pPr>
            <w:r>
              <w:rPr>
                <w:rFonts w:ascii="Calibri" w:hAnsi="Calibri"/>
                <w:color w:val="000000"/>
                <w:sz w:val="22"/>
              </w:rPr>
              <w:t xml:space="preserve">Rental assistance</w:t>
            </w:r>
            <w:r>
              <w:rPr>
                <w:rFonts w:ascii="Calibri" w:hAnsi="Calibri"/>
                <w:color w:val="000000"/>
                <w:sz w:val="22"/>
              </w:rPr>
              <w:br/>
              <w:t xml:space="preserve"/>
            </w:r>
            <w:r>
              <w:rPr>
                <w:rFonts w:ascii="Calibri" w:hAnsi="Calibri"/>
                <w:color w:val="000000"/>
                <w:sz w:val="22"/>
              </w:rPr>
              <w:t xml:space="preserve">Access to crisis assistance</w:t>
            </w:r>
            <w:r>
              <w:rPr>
                <w:rFonts w:ascii="Calibri" w:hAnsi="Calibri"/>
                <w:color w:val="000000"/>
                <w:sz w:val="22"/>
              </w:rPr>
              <w:br/>
              <w:t xml:space="preserve"/>
            </w:r>
            <w:r>
              <w:rPr>
                <w:rFonts w:ascii="Calibri" w:hAnsi="Calibri"/>
                <w:color w:val="000000"/>
                <w:sz w:val="22"/>
              </w:rPr>
              <w:t xml:space="preserve">Stability and Safety</w:t>
            </w:r>
          </w:p>
        </w:tc>
      </w:tr>
      <w:tr>
        <w:trPr>
          <w:cantSplit w:val="true"/>
        </w:trPr>
        <w:tc>
          <w:tcPr>
            <w:vMerge/>
          </w:tcPr>
          <w:p/>
        </w:tc>
        <w:tc>
          <w:p>
            <w:pPr>
              <w:keepNext w:val="true"/>
              <w:spacing w:before="100" w:after="0"/>
              <w:rPr>
                <w:b/>
              </w:rPr>
            </w:pPr>
            <w:r>
              <w:rPr>
                <w:b/>
              </w:rPr>
              <w:t>Funding</w:t>
            </w:r>
          </w:p>
        </w:tc>
        <w:tc>
          <w:p>
            <w:pPr>
              <w:spacing w:before="100" w:after="0"/>
            </w:pPr>
            <w:r>
              <w:rPr>
                <w:rFonts w:ascii="Calibri" w:hAnsi="Calibri"/>
                <w:color w:val="000000"/>
                <w:sz w:val="22"/>
              </w:rPr>
              <w:t xml:space="preserve">ESG: $217,817</w:t>
            </w:r>
          </w:p>
        </w:tc>
      </w:tr>
      <w:tr>
        <w:trPr>
          <w:cantSplit w:val="true"/>
        </w:trPr>
        <w:tc>
          <w:tcPr>
            <w:vMerge/>
          </w:tcPr>
          <w:p/>
        </w:tc>
        <w:tc>
          <w:p>
            <w:pPr>
              <w:keepNext w:val="true"/>
              <w:spacing w:before="100" w:after="0"/>
              <w:rPr>
                <w:b/>
              </w:rPr>
            </w:pPr>
            <w:r>
              <w:rPr>
                <w:b/>
              </w:rPr>
              <w:t>Description</w:t>
            </w:r>
          </w:p>
        </w:tc>
        <w:tc>
          <w:p>
            <w:pPr>
              <w:spacing w:before="100" w:after="0"/>
            </w:pPr>
            <w:r>
              <w:rPr>
                <w:rFonts w:ascii="Calibri" w:hAnsi="Calibri"/>
                <w:color w:val="000000"/>
                <w:sz w:val="22"/>
              </w:rPr>
              <w:t xml:space="preserve">Funding will be provided to all eligible activities under the HESG program.  This includes Emergency Shelter Activities, Rapid Re-Housing, Homeless Prevention (Diversion) and Administration.ESG-CV funds will be used to prevent, prepare for, and respond to the coronavirus pandemic (COVID-19) among individuals and families who are homeless or receiving homeless assistance; and to support additional homeless assistance and homelessness prevention activities to mitigate the impacts of COVID-19.  Salt Lake County intends to utilize funds for the eligible components of Rapid Re-Housing, Homelessness Prevention, Emergency Shelter, and/or Temporary Shelter, including the activities of rental assistance, housing relocation and stabilization services, shelter operations, and administrative costs.</w:t>
            </w:r>
          </w:p>
        </w:tc>
      </w:tr>
      <w:tr>
        <w:trPr>
          <w:cantSplit w:val="true"/>
        </w:trPr>
        <w:tc>
          <w:tcPr>
            <w:vMerge/>
          </w:tcPr>
          <w:p/>
        </w:tc>
        <w:tc>
          <w:p>
            <w:pPr>
              <w:keepNext w:val="true"/>
              <w:spacing w:before="100" w:after="0"/>
              <w:rPr>
                <w:b/>
              </w:rPr>
            </w:pPr>
            <w:r>
              <w:rPr>
                <w:b/>
              </w:rPr>
              <w:t>Target Date</w:t>
            </w:r>
          </w:p>
        </w:tc>
        <w:tc>
          <w:p>
            <w:pPr>
              <w:spacing w:before="100" w:after="0"/>
            </w:pPr>
            <w:r>
              <w:rPr>
                <w:rFonts w:ascii="Calibri" w:hAnsi="Calibri"/>
                <w:color w:val="000000"/>
                <w:sz w:val="22"/>
              </w:rPr>
              <w:t xml:space="preserve">6/30/2021</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p>
            <w:pPr>
              <w:spacing w:before="100" w:after="0"/>
            </w:pPr>
            <w:r>
              <w:rPr>
                <w:rFonts w:ascii="Calibri" w:hAnsi="Calibri"/>
                <w:color w:val="000000"/>
                <w:sz w:val="22"/>
              </w:rPr>
              <w:t xml:space="preserve">It is estimated that 4624 homeless indviduals and homeless persons in families will benefit from Salt Lake County ESG funded activities in the FY20 program year. </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Location Description</w:t>
            </w:r>
          </w:p>
        </w:tc>
        <w:tc>
          <w:p>
            <w:pPr>
              <w:spacing w:before="100" w:after="0"/>
            </w:pPr>
            <w:r>
              <w:rPr>
                <w:rFonts w:ascii="Calibri" w:hAnsi="Calibri"/>
                <w:color w:val="000000"/>
                <w:sz w:val="22"/>
              </w:rPr>
              <w:t xml:space="preserve">The Road Home Emergency Shelter Program:  Midvale Family Resource Center, 529 W. 9th Ave, Midvale, UT - shelter/supportive services; Men's HRC 3380 S. 1000 West, S. SL, UT 84119 shelter/supportive services</w:t>
            </w:r>
          </w:p>
          <w:p>
            <w:pPr>
              <w:spacing w:before="100" w:after="0"/>
            </w:pPr>
            <w:r>
              <w:rPr>
                <w:rFonts w:ascii="Calibri" w:hAnsi="Calibri"/>
                <w:color w:val="000000"/>
                <w:sz w:val="22"/>
              </w:rPr>
              <w:t xml:space="preserve">The Road Home Rapid ReHousing Program:  Midvale Family Resource Center, 529 W 9th Ave, Midvale, Utah - shelter &amp; case management services; Scattered motels, Salt Lake County shelter &amp; case management services; Scattered housing sites, Salt Lake County - case management site visits.</w:t>
            </w:r>
          </w:p>
          <w:p>
            <w:pPr>
              <w:spacing w:before="100" w:after="0"/>
            </w:pPr>
            <w:r>
              <w:rPr>
                <w:rFonts w:ascii="Calibri" w:hAnsi="Calibri"/>
                <w:color w:val="000000"/>
                <w:sz w:val="22"/>
              </w:rPr>
              <w:t xml:space="preserve">YWCA Women in Jeopardy Program:  322 East 300 South, Salt Lake City, Utah 84111; crisis shelter and supportive services for domestic violence survivors and their children</w:t>
            </w:r>
          </w:p>
        </w:tc>
      </w:tr>
      <w:tr>
        <w:trPr>
          <w:cantSplit w:val="true"/>
        </w:trPr>
        <w:tc>
          <w:tcPr>
            <w:vMerge/>
          </w:tcPr>
          <w:p/>
        </w:tc>
        <w:tc>
          <w:p>
            <w:pPr>
              <w:keepNext w:val="true"/>
              <w:spacing w:before="100" w:after="0"/>
              <w:rPr>
                <w:rFonts w:asciiTheme="minorHAnsi" w:hAnsiTheme="minorHAnsi"/>
                <w:b/>
              </w:rPr>
            </w:pPr>
            <w:r>
              <w:rPr>
                <w:rStyle w:val="Strong"/>
                <w:rFonts w:asciiTheme="minorHAnsi" w:hAnsiTheme="minorHAnsi"/>
              </w:rPr>
              <w:t>Planned Activities</w:t>
            </w:r>
          </w:p>
        </w:tc>
        <w:tc>
          <w:p>
            <w:pPr>
              <w:spacing w:before="100" w:after="0"/>
            </w:pPr>
            <w:r>
              <w:rPr>
                <w:rFonts w:ascii="Calibri" w:hAnsi="Calibri"/>
                <w:color w:val="000000"/>
                <w:sz w:val="22"/>
              </w:rPr>
              <w:t xml:space="preserve">ESG funds will support Emergency Shelter at the Road Home and the YWCA, through essential services and shelter operations.  Rapid Rehousing will be facilitated by the Road Home through rental assistance and housing relocation and stabilization services.</w:t>
            </w:r>
          </w:p>
          <w:p>
            <w:pPr>
              <w:spacing w:before="100" w:after="0"/>
            </w:pPr>
          </w:p>
        </w:tc>
      </w:tr>
    </w:tbl>
    <w:bookmarkEnd w:id="2"/>
    <w:p>
      <w:pPr>
        <w:pStyle w:val="Heading2"/>
        <w:pageBreakBefore/>
        <w:widowControl w:val="false"/>
        <w:rPr>
          <w:rFonts w:ascii="Calibri" w:hAnsi="Calibri"/>
          <w:i w:val="false"/>
        </w:rPr>
      </w:pPr>
      <w:r>
        <w:rPr>
          <w:rFonts w:ascii="Calibri" w:hAnsi="Calibri"/>
          <w:i w:val="false"/>
        </w:rPr>
        <w:t>AP-50 Geographic Distribution - 91.420, 91.220(f)</w:t>
      </w:r>
    </w:p>
    <w:p>
      <w:pPr>
        <w:keepNext/>
        <w:widowControl w:val="false"/>
        <w:rPr>
          <w:b/>
          <w:sz w:val="24"/>
          <w:szCs w:val="24"/>
        </w:rPr>
      </w:pPr>
      <w:r>
        <w:rPr>
          <w:b/>
          <w:sz w:val="24"/>
          <w:szCs w:val="24"/>
        </w:rPr>
        <w:t xml:space="preserve">Description of the geographic areas of the entitlement (including areas of low-income and minority concentration) where assistance will be directed </w:t>
      </w:r>
    </w:p>
    <w:p>
      <w:pPr>
        <w:keepNext/>
        <w:widowControl w:val="false"/>
        <w:spacing w:beforeAutospacing="true" w:afterAutospacing="true"/>
        <w:rPr>
          <w:rFonts w:cs="Arial"/>
          <w:szCs w:val="26"/>
        </w:rPr>
      </w:pPr>
      <w:r>
        <w:rPr>
          <w:rFonts w:cs="Arial"/>
        </w:rPr>
        <w:t xml:space="preserve">Salt Lake County’s geographic strategy is based on (1) eligible areas for programs and projects to be funding out of the HOME program,  ESG program, and CDBG program, (2) location of great needs identified by data, location of Low Opportunity Zones, and location of Opportunity Zones, and (3) input received on the greatest needs in Salt Lake County.</w:t>
      </w:r>
    </w:p>
    <w:p>
      <w:pPr>
        <w:keepNext/>
        <w:widowControl w:val="false"/>
        <w:spacing w:beforeAutospacing="true" w:afterAutospacing="true"/>
        <w:rPr>
          <w:rFonts w:cs="Arial"/>
          <w:szCs w:val="26"/>
        </w:rPr>
      </w:pPr>
    </w:p>
    <w:p>
      <w:pPr>
        <w:keepNext/>
        <w:widowControl w:val="false"/>
        <w:rPr>
          <w:b/>
          <w:sz w:val="24"/>
          <w:szCs w:val="24"/>
        </w:rPr>
      </w:pPr>
      <w:r>
        <w:rPr>
          <w:b/>
          <w:sz w:val="24"/>
          <w:szCs w:val="24"/>
        </w:rPr>
        <w:t>Geographic Distribution</w:t>
      </w:r>
    </w:p>
    <w:tbl>
      <w:tblPr>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1" w:firstColumn="1" w:lastColumn="1" w:noHBand="0" w:noVBand="0" w:val="01E0"/>
      </w:tblPr>
      <w:tblGrid>
        <w:gridCol w:w="3654"/>
        <w:gridCol w:w="5807"/>
      </w:tblGrid>
      <w:tr>
        <w:trPr>
          <w:cantSplit/>
          <w:tblHeader/>
        </w:trPr>
        <w:tc>
          <w:tcPr>
            <w:tcW w:w="0" w:type="auto"/>
          </w:tcPr>
          <w:p>
            <w:pPr>
              <w:keepNext/>
              <w:widowControl w:val="false"/>
              <w:spacing w:after="0" w:line="240" w:lineRule="auto"/>
              <w:jc w:val="center"/>
              <w:rPr>
                <w:b/>
                <w:szCs w:val="24"/>
              </w:rPr>
            </w:pPr>
            <w:r>
              <w:rPr>
                <w:b/>
              </w:rPr>
              <w:t>Target Area</w:t>
            </w:r>
          </w:p>
        </w:tc>
        <w:tc>
          <w:tcPr>
            <w:tcW w:w="0" w:type="auto"/>
          </w:tcPr>
          <w:p>
            <w:pPr>
              <w:keepNext/>
              <w:widowControl w:val="false"/>
              <w:spacing w:after="0" w:line="240" w:lineRule="auto"/>
              <w:jc w:val="center"/>
              <w:rPr>
                <w:b/>
                <w:szCs w:val="24"/>
              </w:rPr>
            </w:pPr>
            <w:r>
              <w:rPr>
                <w:b/>
              </w:rPr>
              <w:t>Percentage of Funds</w:t>
            </w:r>
          </w:p>
        </w:tc>
      </w:tr>
      <w:tr>
        <w:trPr>
          <w:cantSplit w:val="true"/>
        </w:trPr>
        <w:tc>
          <w:tcPr>
            <w:vAlign w:val="top"/>
          </w:tcPr>
          <w:p>
            <w:pPr>
              <w:spacing w:beforeAutospacing="true" w:afterAutospacing="true"/>
              <w:jc w:val="left"/>
            </w:pPr>
            <w:r>
              <w:rPr>
                <w:rFonts w:ascii="Calibri" w:hAnsi="Calibri"/>
                <w:color w:val="000000"/>
                <w:sz w:val="22"/>
              </w:rPr>
              <w:t xml:space="preserve">Salt Lake County</w:t>
            </w:r>
          </w:p>
        </w:tc>
        <w:tc>
          <w:tcPr>
            <w:vAlign w:val="bottom"/>
          </w:tcPr>
          <w:p>
            <w:pPr>
              <w:spacing w:beforeAutospacing="true" w:afterAutospacing="true"/>
              <w:jc w:val="right"/>
            </w:pPr>
            <w:r>
              <w:rPr>
                <w:rFonts w:ascii="Calibri" w:hAnsi="Calibri"/>
                <w:color w:val="000000"/>
                <w:sz w:val="22"/>
              </w:rPr>
              <w:t xml:space="preserve">75</w:t>
            </w:r>
          </w:p>
        </w:tc>
      </w:tr>
    </w:tbl>
    <w:p>
      <w:pPr>
        <w:pStyle w:val="Caption"/>
        <w:rPr>
          <w:rFonts w:asciiTheme="minorHAnsi" w:hAnsiTheme="minorHAnsi"/>
        </w:rPr>
      </w:pPr>
      <w:r>
        <w:rPr>
          <w:rFonts w:asciiTheme="minorHAnsi" w:hAnsiTheme="minorHAnsi"/>
        </w:rPr>
        <w:t xml:space="preserve">Table </w:t>
        <w:fldChar w:fldCharType="begin"/>
        <w:instrText xml:space="preserve"> SEQ Table \* ARABIC </w:instrText>
        <w:fldChar w:fldCharType="separate"/>
        <w:t>4</w:t>
        <w:fldChar w:fldCharType="end"/>
        <w:t xml:space="preserve"> - Geographic Distribution </w:t>
      </w:r>
    </w:p>
    <w:p>
      <w:pPr>
        <w:spacing w:after="0" w:line="240" w:lineRule="auto"/>
        <w:rPr>
          <w:b/>
          <w:sz w:val="24"/>
          <w:szCs w:val="24"/>
        </w:rPr>
      </w:pPr>
    </w:p>
    <w:p>
      <w:pPr>
        <w:keepNext/>
        <w:widowControl w:val="false"/>
        <w:rPr>
          <w:b/>
          <w:sz w:val="24"/>
          <w:szCs w:val="24"/>
        </w:rPr>
      </w:pPr>
      <w:r>
        <w:rPr>
          <w:b/>
          <w:sz w:val="24"/>
          <w:szCs w:val="24"/>
        </w:rPr>
        <w:t xml:space="preserve">Rationale for the priorities for allocating investments geographically </w:t>
      </w:r>
    </w:p>
    <w:p>
      <w:pPr>
        <w:keepNext/>
        <w:widowControl w:val="false"/>
        <w:spacing w:beforeAutospacing="true" w:afterAutospacing="true"/>
        <w:rPr>
          <w:rFonts w:cs="Arial"/>
          <w:szCs w:val="24"/>
        </w:rPr>
      </w:pPr>
      <w:r>
        <w:rPr>
          <w:rFonts w:cs="Arial"/>
          <w:b/>
        </w:rPr>
        <w:t xml:space="preserve">Eligible Areas</w:t>
      </w:r>
    </w:p>
    <w:p>
      <w:pPr>
        <w:keepNext/>
        <w:widowControl w:val="false"/>
        <w:spacing w:beforeAutospacing="true" w:afterAutospacing="true"/>
        <w:rPr>
          <w:rFonts w:cs="Arial"/>
          <w:szCs w:val="24"/>
        </w:rPr>
      </w:pPr>
      <w:r>
        <w:rPr>
          <w:rFonts w:cs="Arial"/>
        </w:rPr>
        <w:t xml:space="preserve">-Salt Lake County HOME Consortium includes all of Salt Lake County except for Salt Lake City.  The Salt Lake County Consortium consists of the Salt Lake County Urban County and the cities of West Jordan, West Valley City, Sandy, Taylorsville, and South Jordan.  </w:t>
      </w:r>
    </w:p>
    <w:p>
      <w:pPr>
        <w:numPr>
          <w:ilvl w:val="0"/>
          <w:numId w:val="17"/>
        </w:numPr>
        <w:spacing w:beforeAutospacing="true" w:afterAutospacing="true"/>
      </w:pPr>
      <w:r>
        <w:rPr>
          <w:rFonts w:cs="Arial"/>
        </w:rPr>
        <w:t xml:space="preserve">The following activities funded with Salt Lake County Consortium HOME funds will be located in Salt Lake County except for Salt Lake City</w:t>
      </w:r>
      <w:r>
        <w:rPr>
          <w:rFonts w:cs="Arial"/>
        </w:rPr>
        <w:t xml:space="preserve">Housing rehabilitation</w:t>
      </w:r>
      <w:r>
        <w:rPr>
          <w:rFonts w:cs="Arial"/>
        </w:rPr>
        <w:t xml:space="preserve">Downpayment assistance</w:t>
      </w:r>
    </w:p>
    <w:p>
      <w:pPr>
        <w:numPr>
          <w:ilvl w:val="0"/>
          <w:numId w:val="17"/>
        </w:numPr>
        <w:spacing w:beforeAutospacing="true" w:afterAutospacing="true"/>
      </w:pPr>
      <w:r>
        <w:rPr>
          <w:rFonts w:cs="Arial"/>
        </w:rPr>
        <w:t xml:space="preserve">The following activities funded with Salt Lake County Consortium HOME Funds can be located anywhere in Salt Lake County</w:t>
      </w:r>
      <w:r>
        <w:rPr>
          <w:rFonts w:cs="Arial"/>
        </w:rPr>
        <w:t xml:space="preserve">Rental housing new construction and preservation. A project located in Salt Lake City if it shows a county wide benefit and if Salt Lake City is providing part of the funding.</w:t>
      </w:r>
      <w:r>
        <w:rPr>
          <w:rFonts w:cs="Arial"/>
        </w:rPr>
        <w:t xml:space="preserve">Tenant based rental assistance can be provided county wide if it is homeless</w:t>
      </w:r>
    </w:p>
    <w:p>
      <w:pPr>
        <w:keepNext/>
        <w:widowControl w:val="false"/>
        <w:spacing w:beforeAutospacing="true" w:afterAutospacing="true"/>
        <w:rPr>
          <w:rFonts w:cs="Arial"/>
          <w:szCs w:val="24"/>
        </w:rPr>
      </w:pPr>
      <w:r>
        <w:rPr>
          <w:rFonts w:cs="Arial"/>
        </w:rPr>
        <w:t xml:space="preserve">-For CDBG the Salt Lake Urban County includes Unincorporated Salt Lake County, Alta, Bluffdale, Copperton Metro Township, Cottonwood eights, Draper, Emigration Metro Tokr wnship, Herriman, Holladay, Kearns Metro Township, Magna Metro Township, Midvale, Millcreek, Riverton, South Salt Lake, and White City Metro Township.</w:t>
      </w:r>
    </w:p>
    <w:p>
      <w:pPr>
        <w:keepNext/>
        <w:widowControl w:val="false"/>
        <w:spacing w:beforeAutospacing="true" w:afterAutospacing="true"/>
        <w:rPr>
          <w:rFonts w:cs="Arial"/>
          <w:szCs w:val="24"/>
        </w:rPr>
      </w:pPr>
      <w:r>
        <w:rPr>
          <w:rFonts w:cs="Arial"/>
        </w:rPr>
        <w:t xml:space="preserve">-</w:t>
      </w:r>
      <w:r>
        <w:rPr>
          <w:rFonts w:cs="Arial"/>
          <w:b/>
        </w:rPr>
        <w:t xml:space="preserve">Location of greatest need:</w:t>
      </w:r>
    </w:p>
    <w:p>
      <w:pPr>
        <w:keepNext/>
        <w:widowControl w:val="false"/>
        <w:spacing w:beforeAutospacing="true" w:afterAutospacing="true"/>
        <w:rPr>
          <w:rFonts w:cs="Arial"/>
          <w:szCs w:val="24"/>
        </w:rPr>
      </w:pPr>
      <w:r>
        <w:rPr>
          <w:rFonts w:cs="Arial"/>
        </w:rPr>
        <w:t xml:space="preserve">Greatest need geographic areas in Salt Lake County are illustrated in the Low Opportunity Zones and Opportunity Zones maps.</w:t>
      </w:r>
    </w:p>
    <w:p>
      <w:pPr>
        <w:keepNext/>
        <w:widowControl w:val="false"/>
        <w:spacing w:beforeAutospacing="true" w:afterAutospacing="true"/>
        <w:rPr>
          <w:rFonts w:cs="Arial"/>
          <w:szCs w:val="24"/>
        </w:rPr>
      </w:pPr>
      <w:r>
        <w:rPr>
          <w:rFonts w:cs="Arial"/>
          <w:b/>
        </w:rPr>
        <w:t xml:space="preserve">-Input received </w:t>
      </w:r>
    </w:p>
    <w:p>
      <w:pPr>
        <w:keepNext/>
        <w:widowControl w:val="false"/>
        <w:spacing w:beforeAutospacing="true" w:afterAutospacing="true"/>
        <w:rPr>
          <w:rFonts w:cs="Arial"/>
          <w:szCs w:val="24"/>
        </w:rPr>
      </w:pPr>
      <w:r>
        <w:rPr>
          <w:rFonts w:cs="Arial"/>
          <w:u w:val="single"/>
        </w:rPr>
        <w:t xml:space="preserve">The Northwest Quadrant (Kearns, Magna, Taylorsville, West Valley)</w:t>
      </w:r>
      <w:r>
        <w:rPr>
          <w:rFonts w:cs="Arial"/>
        </w:rPr>
        <w:t xml:space="preserve"> indicated that neighborhood revitalization is the top need.  This included home repairs and energy efficiency improvements.  Also, neighborhood improvements to improve safety were important to those communities.</w:t>
      </w:r>
    </w:p>
    <w:p>
      <w:pPr>
        <w:keepNext/>
        <w:widowControl w:val="false"/>
        <w:spacing w:beforeAutospacing="true" w:afterAutospacing="true"/>
        <w:rPr>
          <w:rFonts w:cs="Arial"/>
          <w:szCs w:val="24"/>
        </w:rPr>
      </w:pPr>
      <w:r>
        <w:rPr>
          <w:rFonts w:cs="Arial"/>
          <w:u w:val="single"/>
        </w:rPr>
        <w:t xml:space="preserve">The Northeast Quadrant (Emigration, Holladay, Millcreek, South Salt Lake</w:t>
      </w:r>
      <w:r>
        <w:rPr>
          <w:rFonts w:cs="Arial"/>
        </w:rPr>
        <w:t xml:space="preserve">) data shows that housing services were most needed.  This includes more affordable housing, rental assistance, home ownership assistance and preserving existing affordable housing.</w:t>
      </w:r>
    </w:p>
    <w:p>
      <w:pPr>
        <w:keepNext/>
        <w:widowControl w:val="false"/>
        <w:spacing w:beforeAutospacing="true" w:afterAutospacing="true"/>
        <w:rPr>
          <w:rFonts w:cs="Arial"/>
          <w:szCs w:val="24"/>
        </w:rPr>
      </w:pPr>
    </w:p>
    <w:p>
      <w:pPr>
        <w:keepNext/>
        <w:widowControl w:val="false"/>
        <w:spacing w:line="204" w:lineRule="auto"/>
        <w:rPr>
          <w:b/>
          <w:sz w:val="24"/>
          <w:szCs w:val="24"/>
        </w:rPr>
      </w:pPr>
      <w:r>
        <w:rPr>
          <w:b/>
          <w:sz w:val="24"/>
          <w:szCs w:val="24"/>
        </w:rPr>
        <w:t>Discussion</w:t>
      </w:r>
    </w:p>
    <w:p>
      <w:pPr>
        <w:keepNext/>
        <w:widowControl w:val="false"/>
        <w:spacing w:beforeAutospacing="true" w:afterAutospacing="true"/>
        <w:rPr>
          <w:b/>
          <w:sz w:val="24"/>
          <w:szCs w:val="24"/>
        </w:rPr>
      </w:pPr>
      <w:r>
        <w:rPr>
          <w:rFonts w:cs="Arial"/>
        </w:rPr>
        <w:t xml:space="preserve">ESG: </w:t>
      </w:r>
      <w:r>
        <w:rPr>
          <w:rFonts w:cs="Arial"/>
          <w:b/>
        </w:rPr>
        <w:t xml:space="preserve">Outside Urban County -  Eligibility based on Low/Mod Limited Clientele - 570.208(a)(2) -</w:t>
      </w:r>
      <w:r>
        <w:rPr>
          <w:rFonts w:cs="Arial"/>
        </w:rPr>
        <w:t xml:space="preserve">The percentage of funds requested cannot exceed the percentage of clients that live in the eligible “Urban County”. *Maximum amount eligible to be funded based on pro-rata of LMI clients to be served.</w:t>
      </w:r>
    </w:p>
    <w:p>
      <w:pPr>
        <w:keepNext/>
        <w:widowControl w:val="false"/>
        <w:spacing w:beforeAutospacing="true" w:afterAutospacing="true"/>
        <w:rPr>
          <w:b/>
          <w:sz w:val="24"/>
          <w:szCs w:val="24"/>
        </w:rPr>
      </w:pPr>
      <w:r>
        <w:rPr>
          <w:rFonts w:cs="Arial"/>
          <w:b/>
          <w:u w:val="single"/>
        </w:rPr>
        <w:t xml:space="preserve">CDBG-PS-  Funding 6 Agencies </w:t>
      </w:r>
      <w:r>
        <w:rPr>
          <w:rFonts w:cs="Arial"/>
          <w:b/>
        </w:rPr>
        <w:t xml:space="preserve">Outside Urban County -  Eligibility based on Low/Mod Limited Clientele - 570.208(a)(2) -</w:t>
      </w:r>
      <w:r>
        <w:rPr>
          <w:rFonts w:cs="Arial"/>
        </w:rPr>
        <w:t xml:space="preserve">The percentage of funds requested cannot exceed the percentage of clients that live in the eligible “Urban County”. *Maximum amount eligible to be funded based on pro-rata of LMI clients to be served.</w:t>
      </w:r>
    </w:p>
    <w:p>
      <w:pPr>
        <w:keepNext/>
        <w:widowControl w:val="false"/>
        <w:spacing w:beforeAutospacing="true" w:afterAutospacing="true"/>
        <w:rPr>
          <w:b/>
          <w:sz w:val="24"/>
          <w:szCs w:val="24"/>
        </w:rPr>
      </w:pPr>
      <w:r>
        <w:rPr>
          <w:rFonts w:cs="Arial"/>
        </w:rPr>
        <w:t xml:space="preserve">Salt Lake City</w:t>
      </w:r>
      <w:r>
        <w:rPr>
          <w:rFonts w:cs="Arial"/>
          <w:b/>
        </w:rPr>
        <w:t xml:space="preserve">- Columbus Foundation, Inc</w:t>
      </w:r>
      <w:r>
        <w:rPr>
          <w:rFonts w:cs="Arial"/>
        </w:rPr>
        <w:t xml:space="preserve">.- Community Employment Program</w:t>
      </w:r>
    </w:p>
    <w:p>
      <w:pPr>
        <w:keepNext/>
        <w:widowControl w:val="false"/>
        <w:spacing w:beforeAutospacing="true" w:afterAutospacing="true"/>
        <w:rPr>
          <w:b/>
          <w:sz w:val="24"/>
          <w:szCs w:val="24"/>
        </w:rPr>
      </w:pPr>
      <w:r>
        <w:rPr>
          <w:rFonts w:cs="Arial"/>
        </w:rPr>
        <w:t xml:space="preserve">Salt Lake City</w:t>
      </w:r>
      <w:r>
        <w:rPr>
          <w:rFonts w:cs="Arial"/>
          <w:b/>
        </w:rPr>
        <w:t xml:space="preserve">-</w:t>
      </w:r>
      <w:r>
        <w:rPr>
          <w:rFonts w:cs="Arial"/>
          <w:b/>
        </w:rPr>
        <w:t xml:space="preserve"> First Step House</w:t>
      </w:r>
      <w:r>
        <w:rPr>
          <w:rFonts w:cs="Arial"/>
        </w:rPr>
        <w:t xml:space="preserve"> - First Step House Housing Case Management Program</w:t>
      </w:r>
    </w:p>
    <w:p>
      <w:pPr>
        <w:keepNext/>
        <w:widowControl w:val="false"/>
        <w:spacing w:beforeAutospacing="true" w:afterAutospacing="true"/>
        <w:rPr>
          <w:b/>
          <w:sz w:val="24"/>
          <w:szCs w:val="24"/>
        </w:rPr>
      </w:pPr>
      <w:r>
        <w:rPr>
          <w:rFonts w:cs="Arial"/>
        </w:rPr>
        <w:t xml:space="preserve">Salt Lake City- </w:t>
      </w:r>
      <w:r>
        <w:rPr>
          <w:rFonts w:cs="Arial"/>
          <w:b/>
        </w:rPr>
        <w:t xml:space="preserve">International Rescue Committee Scaling SPICE</w:t>
      </w:r>
      <w:r>
        <w:rPr>
          <w:rFonts w:cs="Arial"/>
        </w:rPr>
        <w:t xml:space="preserve">: Leveraging a new, expanded facility to increase support for diverse food entrepreneurs in SLC</w:t>
      </w:r>
    </w:p>
    <w:p>
      <w:pPr>
        <w:keepNext/>
        <w:widowControl w:val="false"/>
        <w:spacing w:beforeAutospacing="true" w:afterAutospacing="true"/>
        <w:rPr>
          <w:b/>
          <w:sz w:val="24"/>
          <w:szCs w:val="24"/>
        </w:rPr>
      </w:pPr>
      <w:r>
        <w:rPr>
          <w:rFonts w:cs="Arial"/>
        </w:rPr>
        <w:t xml:space="preserve">Salt Lake City- </w:t>
      </w:r>
      <w:r>
        <w:rPr>
          <w:rFonts w:cs="Arial"/>
          <w:b/>
        </w:rPr>
        <w:t xml:space="preserve">Rape Recovery Center- </w:t>
      </w:r>
      <w:r>
        <w:rPr>
          <w:rFonts w:cs="Arial"/>
        </w:rPr>
        <w:t xml:space="preserve">Stabilization Healing Services for Survivors of Sexual Violence</w:t>
      </w:r>
    </w:p>
    <w:p>
      <w:pPr>
        <w:keepNext/>
        <w:widowControl w:val="false"/>
        <w:spacing w:beforeAutospacing="true" w:afterAutospacing="true"/>
        <w:rPr>
          <w:b/>
          <w:sz w:val="24"/>
          <w:szCs w:val="24"/>
        </w:rPr>
      </w:pPr>
      <w:r>
        <w:rPr>
          <w:rFonts w:cs="Arial"/>
        </w:rPr>
        <w:t xml:space="preserve">South Jordan - - DV Homeless Shelter and Stabilization Services</w:t>
      </w:r>
    </w:p>
    <w:p>
      <w:pPr>
        <w:keepNext/>
        <w:widowControl w:val="false"/>
        <w:spacing w:beforeAutospacing="true" w:afterAutospacing="true"/>
        <w:rPr>
          <w:b/>
          <w:sz w:val="24"/>
          <w:szCs w:val="24"/>
        </w:rPr>
      </w:pPr>
      <w:r>
        <w:rPr>
          <w:rFonts w:cs="Arial"/>
        </w:rPr>
        <w:t xml:space="preserve">Salt Lake City- </w:t>
      </w:r>
      <w:r>
        <w:rPr>
          <w:rFonts w:cs="Arial"/>
          <w:b/>
        </w:rPr>
        <w:t xml:space="preserve">The INN Between-</w:t>
      </w:r>
      <w:r>
        <w:rPr>
          <w:rFonts w:cs="Arial"/>
        </w:rPr>
        <w:t xml:space="preserve"> The INN Between, Temporary Housing for Terminally Ill and Medically Frail Homeless (Operations)</w:t>
      </w:r>
    </w:p>
    <w:p>
      <w:pPr>
        <w:keepNext/>
        <w:widowControl w:val="false"/>
        <w:spacing w:beforeAutospacing="true" w:afterAutospacing="true"/>
        <w:rPr>
          <w:b/>
          <w:sz w:val="24"/>
          <w:szCs w:val="24"/>
        </w:rPr>
      </w:pPr>
      <w:r>
        <w:rPr>
          <w:rFonts w:cs="Arial"/>
        </w:rPr>
        <w:t xml:space="preserve"> </w:t>
      </w:r>
    </w:p>
    <w:p>
      <w:pPr>
        <w:keepNext/>
        <w:widowControl w:val="false"/>
        <w:spacing w:beforeAutospacing="true" w:afterAutospacing="true"/>
        <w:rPr>
          <w:b/>
          <w:sz w:val="24"/>
          <w:szCs w:val="24"/>
        </w:rPr>
      </w:pPr>
      <w:r>
        <w:rPr>
          <w:rFonts w:cs="Arial"/>
          <w:b/>
        </w:rPr>
        <w:t xml:space="preserve">Housing-Homeownership Programs and Housing-Rehab &amp; Accessibility Programs</w:t>
      </w:r>
      <w:r>
        <w:rPr>
          <w:rFonts w:cs="Arial"/>
        </w:rPr>
        <w:t xml:space="preserve"> that will be funded with CDBG are </w:t>
      </w:r>
      <w:r>
        <w:rPr>
          <w:rFonts w:cs="Arial"/>
          <w:b/>
          <w:u w:val="single"/>
        </w:rPr>
        <w:t xml:space="preserve">available Urban County Wide</w:t>
      </w:r>
      <w:r>
        <w:rPr>
          <w:rFonts w:cs="Arial"/>
        </w:rPr>
        <w:t xml:space="preserve">.   </w:t>
      </w:r>
      <w:r>
        <w:rPr>
          <w:rFonts w:cs="Arial"/>
          <w:i/>
        </w:rPr>
        <w:t xml:space="preserve">Eligibility is based on: </w:t>
      </w:r>
      <w:r>
        <w:rPr>
          <w:rFonts w:cs="Arial"/>
          <w:b/>
          <w:i/>
        </w:rPr>
        <w:t xml:space="preserve">Low/Mod Housing - 570.208(a)(3)</w:t>
      </w:r>
      <w:r>
        <w:rPr>
          <w:rFonts w:cs="Arial"/>
          <w:i/>
        </w:rPr>
        <w:t xml:space="preserve">. </w:t>
      </w:r>
    </w:p>
    <w:p>
      <w:pPr>
        <w:keepNext/>
        <w:widowControl w:val="false"/>
        <w:spacing w:beforeAutospacing="true" w:afterAutospacing="true"/>
        <w:rPr>
          <w:b/>
          <w:sz w:val="24"/>
          <w:szCs w:val="24"/>
        </w:rPr>
      </w:pPr>
      <w:r>
        <w:rPr>
          <w:rFonts w:cs="Arial"/>
          <w:i/>
          <w:u w:val="single"/>
        </w:rPr>
        <w:t xml:space="preserve">We will be funding 3 agencies: </w:t>
      </w:r>
    </w:p>
    <w:p>
      <w:pPr>
        <w:keepNext/>
        <w:widowControl w:val="false"/>
        <w:spacing w:beforeAutospacing="true" w:afterAutospacing="true"/>
        <w:rPr>
          <w:b/>
          <w:sz w:val="24"/>
          <w:szCs w:val="24"/>
        </w:rPr>
      </w:pPr>
      <w:r>
        <w:rPr>
          <w:rFonts w:cs="Arial"/>
          <w:i/>
        </w:rPr>
        <w:t xml:space="preserve">CDCU- DPA, </w:t>
      </w:r>
    </w:p>
    <w:p>
      <w:pPr>
        <w:keepNext/>
        <w:widowControl w:val="false"/>
        <w:spacing w:beforeAutospacing="true" w:afterAutospacing="true"/>
        <w:rPr>
          <w:b/>
          <w:sz w:val="24"/>
          <w:szCs w:val="24"/>
        </w:rPr>
      </w:pPr>
      <w:r>
        <w:rPr>
          <w:rFonts w:cs="Arial"/>
          <w:i/>
        </w:rPr>
        <w:t xml:space="preserve">IRC- DPA, </w:t>
      </w:r>
    </w:p>
    <w:p>
      <w:pPr>
        <w:keepNext/>
        <w:widowControl w:val="false"/>
        <w:spacing w:beforeAutospacing="true" w:afterAutospacing="true"/>
        <w:rPr>
          <w:b/>
          <w:sz w:val="24"/>
          <w:szCs w:val="24"/>
        </w:rPr>
      </w:pPr>
      <w:r>
        <w:rPr>
          <w:rFonts w:cs="Arial"/>
          <w:i/>
        </w:rPr>
        <w:t xml:space="preserve">Assist, Utah. </w:t>
      </w:r>
    </w:p>
    <w:p>
      <w:pPr>
        <w:keepNext/>
        <w:widowControl w:val="false"/>
        <w:spacing w:beforeAutospacing="true" w:afterAutospacing="true"/>
        <w:rPr>
          <w:b/>
          <w:sz w:val="24"/>
          <w:szCs w:val="24"/>
        </w:rPr>
      </w:pPr>
      <w:r>
        <w:rPr>
          <w:rFonts w:cs="Arial"/>
        </w:rPr>
        <w:t xml:space="preserve"> </w:t>
      </w:r>
    </w:p>
    <w:p>
      <w:pPr>
        <w:keepNext/>
        <w:widowControl w:val="false"/>
        <w:spacing w:beforeAutospacing="true" w:afterAutospacing="true"/>
        <w:rPr>
          <w:b/>
          <w:sz w:val="24"/>
          <w:szCs w:val="24"/>
        </w:rPr>
      </w:pPr>
      <w:r>
        <w:rPr>
          <w:rFonts w:cs="Arial"/>
          <w:b/>
        </w:rPr>
        <w:t xml:space="preserve">Infrastructure Improvements and Facility Improvement Projects</w:t>
      </w:r>
      <w:r>
        <w:rPr>
          <w:rFonts w:cs="Arial"/>
        </w:rPr>
        <w:t xml:space="preserve"> </w:t>
      </w:r>
      <w:r>
        <w:rPr>
          <w:rFonts w:cs="Arial"/>
          <w:i/>
        </w:rPr>
        <w:t xml:space="preserve">Eligibility based on Low- and Moderate-Income (Low/Mod</w:t>
      </w:r>
      <w:r>
        <w:rPr>
          <w:rFonts w:cs="Arial"/>
          <w:i/>
          <w:u w:val="single"/>
        </w:rPr>
        <w:t xml:space="preserve">) </w:t>
      </w:r>
      <w:r>
        <w:rPr>
          <w:rFonts w:cs="Arial"/>
          <w:b/>
          <w:i/>
          <w:u w:val="single"/>
        </w:rPr>
        <w:t xml:space="preserve">Area Benefit</w:t>
      </w:r>
      <w:r>
        <w:rPr>
          <w:rFonts w:cs="Arial"/>
          <w:i/>
        </w:rPr>
        <w:t xml:space="preserve"> - 572.208(a)(1) -</w:t>
      </w:r>
    </w:p>
    <w:p>
      <w:pPr>
        <w:keepNext/>
        <w:widowControl w:val="false"/>
        <w:spacing w:beforeAutospacing="true" w:afterAutospacing="true"/>
        <w:rPr>
          <w:b/>
          <w:sz w:val="24"/>
          <w:szCs w:val="24"/>
        </w:rPr>
      </w:pPr>
      <w:r>
        <w:rPr>
          <w:rFonts w:cs="Arial"/>
          <w:i/>
          <w:u w:val="single"/>
        </w:rPr>
        <w:t xml:space="preserve">We will be funding 4 projects.</w:t>
      </w:r>
    </w:p>
    <w:p>
      <w:pPr>
        <w:keepNext/>
        <w:widowControl w:val="false"/>
        <w:spacing w:beforeAutospacing="true" w:afterAutospacing="true"/>
        <w:rPr>
          <w:b/>
          <w:sz w:val="24"/>
          <w:szCs w:val="24"/>
        </w:rPr>
      </w:pPr>
      <w:r>
        <w:rPr>
          <w:rFonts w:cs="Arial"/>
        </w:rPr>
        <w:t xml:space="preserve">City of South Salt Lake-Main Street TOD Lighting</w:t>
      </w:r>
    </w:p>
    <w:p>
      <w:pPr>
        <w:keepNext/>
        <w:widowControl w:val="false"/>
        <w:spacing w:beforeAutospacing="true" w:afterAutospacing="true"/>
        <w:rPr>
          <w:b/>
          <w:sz w:val="24"/>
          <w:szCs w:val="24"/>
        </w:rPr>
      </w:pPr>
      <w:r>
        <w:rPr>
          <w:rFonts w:cs="Arial"/>
        </w:rPr>
        <w:t xml:space="preserve">Greater Salt Lake Municipal Services District -Magna Downtown Revitalization</w:t>
      </w:r>
    </w:p>
    <w:p>
      <w:pPr>
        <w:keepNext/>
        <w:widowControl w:val="false"/>
        <w:spacing w:beforeAutospacing="true" w:afterAutospacing="true"/>
        <w:rPr>
          <w:b/>
          <w:sz w:val="24"/>
          <w:szCs w:val="24"/>
        </w:rPr>
      </w:pPr>
      <w:r>
        <w:rPr>
          <w:rFonts w:cs="Arial"/>
        </w:rPr>
        <w:t xml:space="preserve">Guadalupe Center Educational Programs Inc.-Guadalupe School Health and Safety improvements</w:t>
      </w:r>
    </w:p>
    <w:p>
      <w:pPr>
        <w:rPr>
          <w:rFonts w:cs="Arial"/>
        </w:rPr>
      </w:pPr>
    </w:p>
    <w:p>
      <w:pPr>
        <w:pStyle w:val="Heading1"/>
        <w:pageBreakBefore/>
        <w:jc w:val="center"/>
        <w:rPr>
          <w:rFonts w:ascii="Calibri" w:hAnsi="Calibri"/>
          <w:color w:val="auto"/>
          <w:sz w:val="32"/>
          <w:szCs w:val="32"/>
        </w:rPr>
      </w:pPr>
      <w:r>
        <w:rPr>
          <w:rFonts w:ascii="Calibri" w:hAnsi="Calibri"/>
          <w:color w:val="auto"/>
          <w:sz w:val="32"/>
          <w:szCs w:val="32"/>
        </w:rPr>
      </w:r>
    </w:p>
    <w:p>
      <w:pPr>
        <w:pStyle w:val="Heading2"/>
        <w:widowControl w:val="false"/>
        <w:rPr>
          <w:rFonts w:ascii="Calibri" w:hAnsi="Calibri"/>
          <w:i w:val="false"/>
        </w:rPr>
      </w:pPr>
      <w:r>
        <w:rPr>
          <w:rFonts w:ascii="Calibri" w:hAnsi="Calibri"/>
          <w:i w:val="false"/>
        </w:rPr>
        <w:t xml:space="preserve">AP-65 Homeless and Other Special Needs Activities - 91.420, 91.220(i) </w:t>
      </w:r>
      <w:r>
        <w:rPr>
          <w:rFonts w:ascii="Calibri" w:hAnsi="Calibri"/>
        </w:rPr>
      </w:r>
    </w:p>
    <w:p>
      <w:pPr>
        <w:keepNext/>
        <w:widowControl w:val="false"/>
        <w:spacing w:line="204" w:lineRule="auto"/>
        <w:rPr>
          <w:b/>
          <w:sz w:val="24"/>
          <w:szCs w:val="24"/>
        </w:rPr>
      </w:pPr>
      <w:r>
        <w:rPr>
          <w:b/>
          <w:sz w:val="24"/>
          <w:szCs w:val="24"/>
        </w:rPr>
        <w:t xml:space="preserve">Introduction </w:t>
      </w:r>
      <w:r>
        <w:rPr>
          <w:b/>
          <w:i/>
          <w:sz w:val="24"/>
          <w:szCs w:val="24"/>
        </w:rPr>
      </w:r>
    </w:p>
    <w:p>
      <w:pPr>
        <w:keepNext/>
        <w:widowControl w:val="false"/>
        <w:spacing w:line="204" w:lineRule="auto"/>
        <w:rPr>
          <w:b/>
          <w:sz w:val="24"/>
          <w:szCs w:val="24"/>
        </w:rPr>
      </w:pPr>
      <w:r>
        <w:t xml:space="preserve"> </w:t>
      </w:r>
    </w:p>
    <w:p>
      <w:pPr>
        <w:keepNext/>
        <w:widowControl w:val="false"/>
        <w:spacing w:beforeAutospacing="true" w:afterAutospacing="true"/>
        <w:rPr>
          <w:b/>
          <w:sz w:val="24"/>
          <w:szCs w:val="24"/>
        </w:rPr>
      </w:pPr>
      <w:r>
        <w:rPr>
          <w:rFonts w:cs="Arial"/>
        </w:rPr>
        <w:t xml:space="preserve">The Salt Lake County Homeless Service Delivery System has undergone significant changes in the last 2-3 years.  The focus is to make homeless ness, rare, brief and non-recurring.  Added to this plan is the aspect of diversion which is to intercede with a family and individual before they become homeless which may include stabilizing them in their current housing situation, finding a new housing situation and offering supportive services to help maintain current housing.  In order to focus efforts on particular population needs, the downtown shelter which used to house 1,100 people a night which included single men, single women, couples and families was closed.  IN its place, three new homeless resources centers were established; one for men only, one for single men, and the third for single men and women.  These three new resource centers complement the existing youth, families and domestic violence, and medical frail shelters.   Making this all work is the close coordination between Salt Lake Valley Coalition to End Homeless, the Utah State Homeless Coordinating Committee, Salt Lake City and local homeless housing and service providers.</w:t>
      </w:r>
    </w:p>
    <w:p>
      <w:pPr>
        <w:keepNext/>
        <w:widowControl w:val="false"/>
        <w:spacing w:beforeAutospacing="true" w:afterAutospacing="true"/>
        <w:rPr>
          <w:b/>
          <w:sz w:val="24"/>
          <w:szCs w:val="24"/>
        </w:rPr>
      </w:pPr>
    </w:p>
    <w:p>
      <w:pPr>
        <w:keepNext/>
        <w:widowControl w:val="false"/>
        <w:rPr>
          <w:b/>
          <w:sz w:val="24"/>
          <w:szCs w:val="24"/>
        </w:rPr>
      </w:pPr>
      <w:r>
        <w:rPr>
          <w:b/>
          <w:sz w:val="24"/>
          <w:szCs w:val="24"/>
        </w:rPr>
        <w:t>Describe the jurisdictions one-year goals and actions for reducing and ending homelessness including</w:t>
      </w:r>
      <w:r>
        <w:rPr>
          <w:b/>
          <w:i/>
          <w:sz w:val="24"/>
          <w:szCs w:val="24"/>
        </w:rPr>
      </w:r>
    </w:p>
    <w:p>
      <w:pPr>
        <w:keepNext/>
        <w:widowControl w:val="false"/>
        <w:rPr>
          <w:b/>
          <w:sz w:val="24"/>
          <w:szCs w:val="24"/>
        </w:rPr>
      </w:pPr>
      <w:r>
        <w:rPr>
          <w:b/>
          <w:sz w:val="24"/>
          <w:szCs w:val="24"/>
        </w:rPr>
        <w:t>Reaching out to homeless persons (especially unsheltered persons) and assessing their individual needs</w:t>
      </w:r>
      <w:r>
        <w:rPr>
          <w:b/>
          <w:i/>
          <w:sz w:val="24"/>
          <w:szCs w:val="24"/>
        </w:rPr>
      </w:r>
    </w:p>
    <w:p>
      <w:pPr>
        <w:keepNext/>
        <w:widowControl w:val="false"/>
        <w:rPr>
          <w:rFonts w:cs="Arial"/>
        </w:rPr>
      </w:pPr>
      <w:r>
        <w:t xml:space="preserve"> </w:t>
      </w:r>
    </w:p>
    <w:p>
      <w:pPr>
        <w:keepNext/>
        <w:widowControl w:val="false"/>
        <w:spacing w:beforeAutospacing="true" w:afterAutospacing="true"/>
        <w:rPr>
          <w:rFonts w:cs="Arial"/>
        </w:rPr>
      </w:pPr>
      <w:r>
        <w:rPr>
          <w:rFonts w:cs="Arial"/>
        </w:rPr>
        <w:t xml:space="preserve">When the point in time (PIT) count for 2019 was taken the were 193 person who identified as unsheltered.  This approximately 1% of the total number of homeless counted that night.  One of the core function groups of the Salt Lake Valley coalition to end Homelessness is the Client Focus.  These groups made up of a variety of stakeholders within the community continue to search for and implement ways to engage the homeless int services.  There are four outreach teams organized in Salt Lake County.  They include: </w:t>
      </w:r>
    </w:p>
    <w:p>
      <w:pPr>
        <w:numPr>
          <w:ilvl w:val="0"/>
          <w:numId w:val="18"/>
        </w:numPr>
        <w:spacing w:beforeAutospacing="true" w:afterAutospacing="true"/>
      </w:pPr>
      <w:r>
        <w:rPr>
          <w:rFonts w:cs="Arial"/>
        </w:rPr>
        <w:t xml:space="preserve">The Homeless Outreach team which provides basis survival items.  Once a contact is established, the outreach staff will refer and engage the homeless individual to agencies in the community.</w:t>
      </w:r>
    </w:p>
    <w:p>
      <w:pPr>
        <w:numPr>
          <w:ilvl w:val="0"/>
          <w:numId w:val="18"/>
        </w:numPr>
        <w:spacing w:beforeAutospacing="true" w:afterAutospacing="true"/>
      </w:pPr>
      <w:r>
        <w:rPr>
          <w:rFonts w:cs="Arial"/>
        </w:rPr>
        <w:t xml:space="preserve">The medical Outreach Team brings medical assistance to individuals living on the street and provide and engages them in referrals for services and housing.</w:t>
      </w:r>
    </w:p>
    <w:p>
      <w:pPr>
        <w:numPr>
          <w:ilvl w:val="0"/>
          <w:numId w:val="18"/>
        </w:numPr>
        <w:spacing w:beforeAutospacing="true" w:afterAutospacing="true"/>
      </w:pPr>
      <w:r>
        <w:rPr>
          <w:rFonts w:cs="Arial"/>
        </w:rPr>
        <w:t xml:space="preserve">The Library Engagement Team focuses outreach to individuals who gather at the Salt Lake City Library.   They work to identify each person needs ad link them with services.</w:t>
      </w:r>
    </w:p>
    <w:p>
      <w:pPr>
        <w:numPr>
          <w:ilvl w:val="0"/>
          <w:numId w:val="18"/>
        </w:numPr>
        <w:spacing w:beforeAutospacing="true" w:afterAutospacing="true"/>
      </w:pPr>
      <w:r>
        <w:rPr>
          <w:rFonts w:cs="Arial"/>
        </w:rPr>
        <w:t xml:space="preserve">The Street Engagement Team focuses outreach to individuals who gather in the downtown area.  Each of these locations contain several homeless and unsheltered individuals.</w:t>
      </w:r>
    </w:p>
    <w:p>
      <w:pPr>
        <w:keepNext/>
        <w:widowControl w:val="false"/>
        <w:spacing w:beforeAutospacing="true" w:afterAutospacing="true"/>
        <w:rPr>
          <w:rFonts w:cs="Arial"/>
        </w:rPr>
      </w:pPr>
    </w:p>
    <w:p>
      <w:pPr>
        <w:keepNext/>
        <w:widowControl w:val="false"/>
        <w:spacing w:beforeAutospacing="true" w:afterAutospacing="true"/>
        <w:rPr>
          <w:rFonts w:cs="Arial"/>
        </w:rPr>
      </w:pPr>
    </w:p>
    <w:p>
      <w:pPr>
        <w:keepNext/>
        <w:widowControl w:val="false"/>
        <w:rPr>
          <w:b/>
          <w:sz w:val="24"/>
          <w:szCs w:val="24"/>
        </w:rPr>
      </w:pPr>
      <w:r>
        <w:rPr>
          <w:b/>
          <w:sz w:val="24"/>
          <w:szCs w:val="24"/>
        </w:rPr>
        <w:t>Addressing the emergency shelter and transitional housing needs of homeless persons</w:t>
      </w:r>
      <w:r>
        <w:rPr>
          <w:b/>
          <w:i/>
          <w:sz w:val="24"/>
          <w:szCs w:val="24"/>
        </w:rPr>
      </w:r>
    </w:p>
    <w:p>
      <w:pPr>
        <w:keepNext/>
        <w:widowControl w:val="false"/>
        <w:rPr>
          <w:rFonts w:cs="Arial"/>
        </w:rPr>
      </w:pPr>
      <w:r>
        <w:t xml:space="preserve"> </w:t>
      </w:r>
    </w:p>
    <w:p>
      <w:pPr>
        <w:keepNext/>
        <w:widowControl w:val="false"/>
        <w:spacing w:beforeAutospacing="true" w:afterAutospacing="true"/>
        <w:rPr>
          <w:rFonts w:cs="Arial"/>
        </w:rPr>
      </w:pPr>
      <w:r>
        <w:rPr>
          <w:rFonts w:cs="Arial"/>
        </w:rPr>
        <w:t xml:space="preserve">The recent advent of the COVID 19 has heightened the awareness of the at-risk populations in Salt Lake County that often have existing underlying heath conditions.  These include those who are homeless and are currently n a variety of homeless and transitional housing living situations.  These include domestic violence shelters, residential programs, for Runway/homeless youth, and those living in hotels.  Extra effort has been and will continue to be focused on these populations.  The outbreak of COVID 19 in the homeless resource centers, the County has and will continue to lease employ hotel space to increase social distancing and provide more individuals care.  Mobile testing has been made available to these homeless resources centers to check individuals who may be having symptoms of the various.  Information on tests, cases and hospitalized are helping to inform the services that are needed.  The goal is to provide safe, decent and affordable housing for this population.  Often with continuing support services to maintain their housing.  Fortunately, CARES Act funding has provided some resources to help int these areas for vulnerable populations</w:t>
      </w:r>
      <w:r>
        <w:rPr>
          <w:rFonts w:cs="Arial"/>
        </w:rPr>
        <w:t xml:space="preserve"> </w:t>
      </w:r>
    </w:p>
    <w:p>
      <w:pPr>
        <w:keepNext/>
        <w:widowControl w:val="false"/>
        <w:spacing w:beforeAutospacing="true" w:afterAutospacing="true"/>
        <w:rPr>
          <w:rFonts w:cs="Arial"/>
        </w:rPr>
      </w:pPr>
    </w:p>
    <w:p>
      <w:pPr>
        <w:keepNext/>
        <w:widowControl w:val="false"/>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r>
        <w:rPr>
          <w:b/>
          <w:i/>
          <w:sz w:val="24"/>
          <w:szCs w:val="24"/>
        </w:rPr>
      </w:r>
    </w:p>
    <w:p>
      <w:pPr>
        <w:keepNext/>
        <w:widowControl w:val="false"/>
        <w:rPr>
          <w:rFonts w:cs="Arial"/>
        </w:rPr>
      </w:pPr>
      <w:r>
        <w:t xml:space="preserve"> </w:t>
      </w:r>
    </w:p>
    <w:p>
      <w:pPr>
        <w:keepNext/>
        <w:widowControl w:val="false"/>
        <w:spacing w:beforeAutospacing="true" w:afterAutospacing="true"/>
        <w:rPr>
          <w:rFonts w:cs="Arial"/>
        </w:rPr>
      </w:pPr>
      <w:r>
        <w:rPr>
          <w:rFonts w:cs="Arial"/>
        </w:rPr>
        <w:t xml:space="preserve">Performance measure reports track the length of time individuals and families remain homeless.  Reports include the average number of days in shelter for individuals/families and the average number of months in transition al housing.  Using the data from the reports ad the needs of the community, the following strategies help persons experiencing homeless to transition to housing and not return to homelessness.</w:t>
      </w:r>
    </w:p>
    <w:p>
      <w:pPr>
        <w:numPr>
          <w:ilvl w:val="0"/>
          <w:numId w:val="19"/>
        </w:numPr>
        <w:spacing w:beforeAutospacing="true" w:afterAutospacing="true"/>
      </w:pPr>
      <w:r>
        <w:rPr>
          <w:rFonts w:cs="Arial"/>
        </w:rPr>
        <w:t xml:space="preserve">Increased use of RRH efforts including funding from TAF, COC and ESG dollars</w:t>
      </w:r>
    </w:p>
    <w:p>
      <w:pPr>
        <w:numPr>
          <w:ilvl w:val="0"/>
          <w:numId w:val="19"/>
        </w:numPr>
        <w:spacing w:beforeAutospacing="true" w:afterAutospacing="true"/>
      </w:pPr>
      <w:r>
        <w:rPr>
          <w:rFonts w:cs="Arial"/>
        </w:rPr>
        <w:t xml:space="preserve">Improve efficiency and effectives of RRH through lessons learned from best practices.</w:t>
      </w:r>
    </w:p>
    <w:p>
      <w:pPr>
        <w:numPr>
          <w:ilvl w:val="0"/>
          <w:numId w:val="19"/>
        </w:numPr>
        <w:spacing w:beforeAutospacing="true" w:afterAutospacing="true"/>
      </w:pPr>
      <w:r>
        <w:rPr>
          <w:rFonts w:cs="Arial"/>
        </w:rPr>
        <w:t xml:space="preserve">Follow prioritization guidance for PSH projects, giving priority to those with the highest service needs and longest history of homelessness.</w:t>
      </w:r>
    </w:p>
    <w:p>
      <w:pPr>
        <w:numPr>
          <w:ilvl w:val="0"/>
          <w:numId w:val="19"/>
        </w:numPr>
        <w:spacing w:beforeAutospacing="true" w:afterAutospacing="true"/>
      </w:pPr>
      <w:r>
        <w:rPr>
          <w:rFonts w:cs="Arial"/>
        </w:rPr>
        <w:t xml:space="preserve">Use of the VI-SPDAT assessment as one part of the procedures for placing Chronically Homeless individuals in housing.</w:t>
      </w:r>
    </w:p>
    <w:p>
      <w:pPr>
        <w:keepNext/>
        <w:widowControl w:val="false"/>
        <w:spacing w:beforeAutospacing="true" w:afterAutospacing="true"/>
        <w:rPr>
          <w:rFonts w:cs="Arial"/>
        </w:rPr>
      </w:pPr>
      <w:r>
        <w:rPr>
          <w:rFonts w:cs="Arial"/>
        </w:rPr>
        <w:t xml:space="preserve">Performance measure reports track the length of time individuals and families remain homeless.  Reports include the average number of days in shelter for individuals/families and the average number of months in transition al housing.  Using the data from the reports ad the needs of the community, the following strategies help persons experiencing </w:t>
      </w:r>
    </w:p>
    <w:p>
      <w:pPr>
        <w:keepNext/>
        <w:widowControl w:val="false"/>
        <w:rPr>
          <w:b/>
          <w:sz w:val="24"/>
          <w:szCs w:val="24"/>
        </w:rPr>
      </w:pPr>
      <w:r>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r>
        <w:t xml:space="preserve"> </w:t>
      </w:r>
      <w:r>
        <w:rPr>
          <w:b/>
          <w:i/>
          <w:sz w:val="24"/>
          <w:szCs w:val="24"/>
        </w:rPr>
      </w:r>
    </w:p>
    <w:p>
      <w:pPr>
        <w:keepNext/>
        <w:widowControl w:val="false"/>
        <w:rPr>
          <w:rFonts w:cs="Arial"/>
          <w:szCs w:val="26"/>
        </w:rPr>
      </w:pPr>
      <w:r>
        <w:t xml:space="preserve"> </w:t>
      </w:r>
    </w:p>
    <w:p>
      <w:pPr>
        <w:keepNext/>
        <w:widowControl w:val="false"/>
        <w:spacing w:beforeAutospacing="true" w:afterAutospacing="true"/>
        <w:rPr>
          <w:rFonts w:cs="Arial"/>
          <w:szCs w:val="26"/>
        </w:rPr>
      </w:pPr>
      <w:r>
        <w:rPr>
          <w:rFonts w:cs="Arial"/>
        </w:rPr>
        <w:t xml:space="preserve">The most significant action taken to prevent homelessness in Salt Lake County is through Diversion.  A private non-profit agency has been provided funding, staff capacity, and linkages to all the homeless resource centers and other agencies where people who are on the verge on homelessness present.  Through the funding availability and the training of case managers, those on the verge of a homeless crisis are provided resources to abate that experience.  A needs assessment of the individuals or household is performed looking at all resources that can be used.  These include staying with family, church or philanthropic, one-time, short term rental assistance, financial counseling, one-time payment of utilities or owed charges, etc.</w:t>
      </w:r>
    </w:p>
    <w:p>
      <w:pPr>
        <w:keepNext/>
        <w:widowControl w:val="false"/>
        <w:spacing w:beforeAutospacing="true" w:afterAutospacing="true"/>
        <w:rPr>
          <w:rFonts w:cs="Arial"/>
          <w:szCs w:val="26"/>
        </w:rPr>
      </w:pPr>
    </w:p>
    <w:p>
      <w:pPr>
        <w:keepNext/>
        <w:widowControl w:val="false"/>
        <w:spacing w:line="204" w:lineRule="auto"/>
        <w:rPr>
          <w:b/>
          <w:i/>
          <w:sz w:val="24"/>
          <w:szCs w:val="24"/>
        </w:rPr>
      </w:pPr>
      <w:r>
        <w:rPr>
          <w:b/>
          <w:sz w:val="24"/>
          <w:szCs w:val="24"/>
        </w:rPr>
        <w:t xml:space="preserve">Discussion </w:t>
      </w:r>
      <w:r>
        <w:rPr>
          <w:b/>
          <w:i/>
          <w:sz w:val="24"/>
          <w:szCs w:val="24"/>
        </w:rPr>
      </w:r>
    </w:p>
    <w:p>
      <w:pPr>
        <w:keepNext/>
        <w:widowControl w:val="false"/>
        <w:spacing w:beforeAutospacing="true" w:afterAutospacing="true"/>
        <w:rPr>
          <w:b/>
          <w:sz w:val="24"/>
          <w:szCs w:val="24"/>
        </w:rPr>
      </w:pPr>
      <w:r>
        <w:rPr>
          <w:rFonts w:cs="Arial"/>
        </w:rPr>
        <w:t xml:space="preserve">The impact of the COVID 19 is not fully known. In the Market Analysis section James Wood stated that there are at least 30,000 people who have lost their jobs and are not receiving unemployement benefits. Acccording to a national study, it is estimated that the homeless population will increase by 50%. Salt Lake County along with othery cities and state of Utah will work and help finace an increase of the capacity of agencies providing services to prevent homelessness and help the homeless.</w:t>
      </w:r>
    </w:p>
    <w:p>
      <w:pPr>
        <w:pStyle w:val="Heading2"/>
        <w:pageBreakBefore/>
        <w:widowControl w:val="false"/>
        <w:rPr>
          <w:rFonts w:ascii="Calibri" w:hAnsi="Calibri"/>
          <w:i w:val="false"/>
        </w:rPr>
        <w:sectPr>
          <w:pgSz w:w="12240" w:h="15840"/>
          <w:pgMar w:top="1440" w:right="1440" w:bottom="1440" w:left="1440" w:header="720" w:footer="720" w:gutter="0"/>
          <w:cols w:space="720"/>
          <w:docGrid w:linePitch="360"/>
        </w:sectPr>
      </w:pPr>
    </w:p>
    <w:p>
      <w:pPr>
        <w:keepNext/>
        <w:widowControl w:val="false"/>
        <w:spacing w:after="0" w:line="240" w:lineRule="auto"/>
        <w:jc w:val="center"/>
        <w:rPr>
          <w:rFonts w:cs="Arial"/>
        </w:rPr>
      </w:pPr>
    </w:p>
    <w:p>
      <w:pPr>
        <w:keepNext/>
        <w:widowControl w:val="false"/>
        <w:spacing w:after="0" w:line="240" w:lineRule="auto"/>
        <w:jc w:val="center"/>
        <w:rPr>
          <w:rFonts w:cs="Arial"/>
        </w:rPr>
      </w:pPr>
    </w:p>
    <w:p>
      <w:pPr>
        <w:keepNext/>
        <w:widowControl w:val="false"/>
        <w:spacing w:after="0" w:line="240" w:lineRule="auto"/>
        <w:rPr>
          <w:rFonts w:cs="Arial"/>
        </w:rPr>
      </w:pPr>
    </w:p>
    <w:p>
      <w:pPr>
        <w:pStyle w:val="Heading2"/>
        <w:pageBreakBefore/>
        <w:widowControl w:val="false"/>
      </w:pPr>
      <w:r>
        <w:rPr>
          <w:rFonts w:ascii="Calibri" w:hAnsi="Calibri"/>
          <w:i w:val="false"/>
        </w:rPr>
        <w:t>AP-75 Barriers to affordable housing -91.420, 91.220(j)</w:t>
      </w:r>
    </w:p>
    <w:p>
      <w:pPr>
        <w:keepNext/>
        <w:widowControl w:val="false"/>
        <w:spacing w:line="204" w:lineRule="auto"/>
        <w:rPr>
          <w:b/>
          <w:sz w:val="24"/>
          <w:szCs w:val="24"/>
        </w:rPr>
      </w:pPr>
      <w:r>
        <w:rPr>
          <w:b/>
          <w:sz w:val="24"/>
          <w:szCs w:val="24"/>
        </w:rPr>
        <w:t>Introduction</w:t>
      </w:r>
    </w:p>
    <w:p>
      <w:pPr>
        <w:keepNext/>
        <w:widowControl w:val="false"/>
        <w:spacing w:beforeAutospacing="true" w:afterAutospacing="true"/>
        <w:rPr>
          <w:b/>
          <w:sz w:val="24"/>
          <w:szCs w:val="24"/>
        </w:rPr>
      </w:pPr>
      <w:r>
        <w:rPr>
          <w:rFonts w:cs="Arial"/>
        </w:rPr>
        <w:t xml:space="preserve">The Regional AI identifies those factors that have (1) perpetuated the concentration of protected classes within a few communities in Salt Lake County and (2) are currently barriers to limiting fair housing choice and opportunity. Essential background to AI is the affordable housing needs of protected classes, particularly the need for affordable rental housing. Estimates of the needs establish the housing hardship many protected classes experience. </w:t>
      </w:r>
      <w:r>
        <w:rPr>
          <w:rFonts w:cs="Arial"/>
        </w:rPr>
        <w:t xml:space="preserve"> </w:t>
      </w:r>
      <w:r>
        <w:rPr>
          <w:rFonts w:cs="Arial"/>
        </w:rPr>
        <w:t xml:space="preserve">Affordable housing needs are, in part, a consequence of impediments to housing choice, which are identified and discussed in this summary followed by the listing of major impediments for entitlement jurisdictions.</w:t>
      </w:r>
      <w:r>
        <w:rPr>
          <w:rFonts w:cs="Arial"/>
        </w:rPr>
        <w:t xml:space="preserve">  </w:t>
      </w:r>
      <w:r>
        <w:rPr>
          <w:rFonts w:cs="Arial"/>
        </w:rPr>
        <w:t xml:space="preserve">In almost all cases the impediments listed affect all members of protected classes but particularly minority, disabled and large family households.</w:t>
      </w:r>
      <w:r>
        <w:rPr>
          <w:rFonts w:cs="Arial"/>
        </w:rPr>
        <w:t xml:space="preserve">  </w:t>
      </w:r>
    </w:p>
    <w:p>
      <w:pPr>
        <w:keepNext/>
        <w:widowControl w:val="false"/>
        <w:spacing w:beforeAutospacing="true" w:afterAutospacing="true"/>
        <w:rPr>
          <w:b/>
          <w:sz w:val="24"/>
          <w:szCs w:val="24"/>
        </w:rPr>
      </w:pPr>
    </w:p>
    <w:p>
      <w:pPr>
        <w:keepNext/>
        <w:widowControl w:val="false"/>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pPr>
        <w:keepNext/>
        <w:widowControl w:val="false"/>
        <w:spacing w:beforeAutospacing="true" w:afterAutospacing="true"/>
        <w:rPr>
          <w:rFonts w:cs="Arial"/>
        </w:rPr>
      </w:pPr>
      <w:r>
        <w:rPr>
          <w:rFonts w:cs="Arial"/>
        </w:rPr>
        <w:t xml:space="preserve">In Attachment 2: You can find Salt Lake County's Fair Housing Action Plan which adddresses all of these issues.</w:t>
      </w:r>
    </w:p>
    <w:p>
      <w:pPr>
        <w:keepNext/>
        <w:widowControl w:val="false"/>
        <w:spacing w:line="204" w:lineRule="auto"/>
        <w:rPr>
          <w:b/>
          <w:sz w:val="24"/>
          <w:szCs w:val="24"/>
        </w:rPr>
      </w:pPr>
      <w:r>
        <w:rPr>
          <w:b/>
          <w:sz w:val="24"/>
          <w:szCs w:val="24"/>
        </w:rPr>
        <w:t>Discussion</w:t>
      </w:r>
    </w:p>
    <w:p>
      <w:pPr>
        <w:keepNext/>
        <w:widowControl w:val="false"/>
        <w:spacing w:beforeAutospacing="true" w:afterAutospacing="true"/>
        <w:rPr>
          <w:b/>
          <w:sz w:val="24"/>
          <w:szCs w:val="24"/>
        </w:rPr>
      </w:pPr>
      <w:r>
        <w:rPr>
          <w:rFonts w:cs="Arial"/>
        </w:rPr>
        <w:t xml:space="preserve">Salt Lake County is actively working on the development and construction of affordable housing</w:t>
      </w:r>
    </w:p>
    <w:p>
      <w:pPr>
        <w:keepNext/>
        <w:widowControl w:val="false"/>
        <w:spacing w:after="0" w:line="240" w:lineRule="auto"/>
        <w:jc w:val="center"/>
        <w:rPr>
          <w:rFonts w:cs="Arial"/>
        </w:rPr>
      </w:pPr>
    </w:p>
    <w:p>
      <w:pPr>
        <w:pStyle w:val="Heading2"/>
        <w:pageBreakBefore/>
        <w:widowControl w:val="false"/>
        <w:rPr>
          <w:rFonts w:ascii="Calibri" w:hAnsi="Calibri"/>
          <w:i w:val="false"/>
        </w:rPr>
        <w:sectPr>
          <w:pgSz w:w="15840" w:h="12240" w:orient="landscape"/>
          <w:pgMar w:top="1440" w:right="1440" w:bottom="1440" w:left="1440" w:header="720" w:footer="720" w:gutter="0"/>
          <w:cols w:space="720"/>
          <w:docGrid w:linePitch="360"/>
        </w:sectPr>
      </w:pPr>
    </w:p>
    <w:p>
      <w:pPr>
        <w:pStyle w:val="Heading2"/>
        <w:pageBreakBefore/>
        <w:widowControl w:val="false"/>
        <w:rPr>
          <w:rFonts w:ascii="Calibri" w:hAnsi="Calibri"/>
          <w:i w:val="false"/>
        </w:rPr>
      </w:pPr>
      <w:r>
        <w:rPr>
          <w:rFonts w:ascii="Calibri" w:hAnsi="Calibri"/>
          <w:i w:val="false"/>
        </w:rPr>
        <w:t>AP-85 Other Actions - 91.420, 91.220(k)</w:t>
      </w:r>
    </w:p>
    <w:p>
      <w:pPr>
        <w:keepNext/>
        <w:widowControl w:val="false"/>
        <w:spacing w:line="204" w:lineRule="auto"/>
        <w:rPr>
          <w:b/>
          <w:sz w:val="24"/>
          <w:szCs w:val="24"/>
        </w:rPr>
      </w:pPr>
      <w:r>
        <w:rPr>
          <w:b/>
          <w:sz w:val="24"/>
          <w:szCs w:val="24"/>
        </w:rPr>
        <w:t>Introduction</w:t>
      </w:r>
    </w:p>
    <w:p>
      <w:pPr>
        <w:keepNext/>
        <w:widowControl w:val="false"/>
        <w:spacing w:beforeAutospacing="true" w:afterAutospacing="true"/>
        <w:rPr>
          <w:b/>
          <w:sz w:val="24"/>
          <w:szCs w:val="24"/>
        </w:rPr>
      </w:pPr>
      <w:r>
        <w:rPr>
          <w:rFonts w:cs="Arial"/>
        </w:rPr>
        <w:t xml:space="preserve">Undoubtedly there are powerful underlying economic and demographic forces at work leading to greater concentrations of minority and poor populations, significant disparities of opportunity and major impediments to fair housing choice. For the most part these forces are independent of policies and practices of local governments and the action plans set forth in consolidated plans.  It’s generally accepted that economic and demographic forces—income, employment, housing prices and to a lesser extent population trends—reflect conditions of supply and demand.  While these forces may be largely independent of local policies and practices there are cases where local public policy can have rather significant impacts on local economic conditions, particularly housing prices. </w:t>
      </w:r>
    </w:p>
    <w:p>
      <w:pPr>
        <w:keepNext/>
        <w:widowControl w:val="false"/>
        <w:spacing w:beforeAutospacing="true" w:afterAutospacing="true"/>
        <w:rPr>
          <w:b/>
          <w:sz w:val="24"/>
          <w:szCs w:val="24"/>
        </w:rPr>
      </w:pPr>
      <w:r>
        <w:rPr>
          <w:rFonts w:cs="Arial"/>
          <w:i/>
        </w:rPr>
        <w:t xml:space="preserve">Income – </w:t>
      </w:r>
      <w:r>
        <w:rPr>
          <w:rFonts w:cs="Arial"/>
        </w:rPr>
        <w:t xml:space="preserve">Probably the factor with the most widespread impact on fair housing choice and access to opportunity is income.  For thirty years the Utah economy and households have struggled with relatively low wages. </w:t>
      </w:r>
    </w:p>
    <w:p>
      <w:pPr>
        <w:keepNext/>
        <w:widowControl w:val="false"/>
        <w:spacing w:beforeAutospacing="true" w:afterAutospacing="true"/>
        <w:rPr>
          <w:b/>
          <w:sz w:val="24"/>
          <w:szCs w:val="24"/>
        </w:rPr>
      </w:pPr>
      <w:r>
        <w:rPr>
          <w:rFonts w:cs="Arial"/>
        </w:rPr>
        <w:t xml:space="preserve">Affordable rental housing is the greatest housing need for protected classes.  Over half of all minority households rent and these households are more likely to be very low or extremely low income households. Therefore policy measures that encourage additional affordable rental housing are the most effective in meeting the unmet housing needs of protected classes and affirmatively furthering fair housing. And conversely policy measures that limit or preclude the development of additional affordable rental housing are serious impediments to fair housing choice.</w:t>
      </w:r>
    </w:p>
    <w:p>
      <w:pPr>
        <w:keepNext/>
        <w:widowControl w:val="false"/>
        <w:spacing w:beforeAutospacing="true" w:afterAutospacing="true"/>
        <w:rPr>
          <w:b/>
          <w:sz w:val="24"/>
          <w:szCs w:val="24"/>
        </w:rPr>
      </w:pPr>
      <w:r>
        <w:rPr>
          <w:rFonts w:cs="Arial"/>
        </w:rPr>
        <w:t xml:space="preserve">The most critical unmet housing needs are concentrated in the very low and extremely low income households.  These households comprise a significant share of the county’s population.  One-in-four households in the county have incomes below 50 percent of the Area Median Income (AMI).  Of the 355,000 households in Salt Lake County in 2012, 88,750 were households with very low income; $35,000 or less for a family of four.  There were over 53,000 households with extremely low income, approximately $21,000 or less for a family of four Table 1.  Again these households are much more likely to be renter households of protected classes.</w:t>
      </w:r>
    </w:p>
    <w:p>
      <w:pPr>
        <w:keepNext/>
        <w:widowControl w:val="false"/>
        <w:spacing w:beforeAutospacing="true" w:afterAutospacing="true"/>
        <w:rPr>
          <w:b/>
          <w:sz w:val="24"/>
          <w:szCs w:val="24"/>
        </w:rPr>
      </w:pPr>
    </w:p>
    <w:p>
      <w:pPr>
        <w:keepNext/>
        <w:widowControl w:val="false"/>
        <w:rPr>
          <w:b/>
          <w:sz w:val="24"/>
          <w:szCs w:val="24"/>
        </w:rPr>
      </w:pPr>
      <w:r>
        <w:rPr>
          <w:b/>
          <w:sz w:val="24"/>
          <w:szCs w:val="24"/>
        </w:rPr>
        <w:t>Actions planned to address obstacles to meeting underserved needs</w:t>
      </w:r>
    </w:p>
    <w:p>
      <w:pPr>
        <w:keepNext/>
        <w:widowControl w:val="false"/>
        <w:spacing w:beforeAutospacing="true" w:afterAutospacing="true"/>
        <w:rPr>
          <w:rFonts w:cs="Arial"/>
        </w:rPr>
      </w:pPr>
      <w:r>
        <w:rPr>
          <w:rFonts w:cs="Arial"/>
        </w:rPr>
        <w:t xml:space="preserve">Salt Lake County in this year’s allocation of funds placed a high priority on the development of a more effective allocation process to help improve the quality of and value of outcomes to be achieved. See Appendix 2 Public process for more description of the efforts taken to improve the allocation of CDBG and other funding. This effort coupled with the efforts for Collective Impact for homeless, with the Green &amp; Healthy Homes Initiative, the development of Pay for Success Initiatives, the implementation of the Sustainable Grant planning, and the development and implementation of a Regional Analysis of Impediments Action Plan will all help address and mitigate the obstacles to become better at meeting underserved needs.</w:t>
      </w:r>
    </w:p>
    <w:p>
      <w:pPr>
        <w:keepNext/>
        <w:widowControl w:val="false"/>
        <w:spacing w:beforeAutospacing="true" w:afterAutospacing="true"/>
        <w:rPr>
          <w:rFonts w:cs="Arial"/>
        </w:rPr>
      </w:pPr>
      <w:r>
        <w:rPr>
          <w:rFonts w:cs="Arial"/>
        </w:rPr>
        <w:t xml:space="preserve"> </w:t>
      </w:r>
    </w:p>
    <w:p>
      <w:pPr>
        <w:keepNext/>
        <w:widowControl w:val="false"/>
        <w:spacing w:beforeAutospacing="true" w:afterAutospacing="true"/>
        <w:rPr>
          <w:rFonts w:cs="Arial"/>
        </w:rPr>
      </w:pPr>
      <w:r>
        <w:rPr>
          <w:rFonts w:cs="Arial"/>
        </w:rPr>
        <w:t xml:space="preserve"> </w:t>
      </w:r>
    </w:p>
    <w:p>
      <w:pPr>
        <w:keepNext/>
        <w:widowControl w:val="false"/>
        <w:spacing w:beforeAutospacing="true" w:afterAutospacing="true"/>
        <w:rPr>
          <w:rFonts w:cs="Arial"/>
        </w:rPr>
      </w:pPr>
      <w:r>
        <w:rPr>
          <w:rFonts w:cs="Arial"/>
        </w:rPr>
        <w:br/>
        <w:t xml:space="preserve"/>
      </w:r>
    </w:p>
    <w:p>
      <w:pPr>
        <w:keepNext/>
        <w:widowControl w:val="false"/>
        <w:spacing w:beforeAutospacing="true" w:afterAutospacing="true"/>
        <w:rPr>
          <w:rFonts w:cs="Arial"/>
        </w:rPr>
      </w:pPr>
      <w:r>
        <w:rPr>
          <w:rFonts w:cs="Arial"/>
        </w:rPr>
        <w:t xml:space="preserve"> </w:t>
      </w:r>
    </w:p>
    <w:p>
      <w:pPr>
        <w:keepNext/>
        <w:widowControl w:val="false"/>
        <w:spacing w:beforeAutospacing="true" w:afterAutospacing="true"/>
        <w:rPr>
          <w:rFonts w:cs="Arial"/>
        </w:rPr>
      </w:pPr>
    </w:p>
    <w:p>
      <w:pPr>
        <w:keepNext/>
        <w:widowControl w:val="false"/>
        <w:rPr>
          <w:b/>
          <w:sz w:val="24"/>
          <w:szCs w:val="24"/>
        </w:rPr>
      </w:pPr>
      <w:r>
        <w:rPr>
          <w:b/>
          <w:sz w:val="24"/>
          <w:szCs w:val="24"/>
        </w:rPr>
        <w:t>Actions planned to foster and maintain affordable housing</w:t>
      </w:r>
    </w:p>
    <w:p>
      <w:pPr>
        <w:keepNext/>
        <w:widowControl w:val="false"/>
        <w:spacing w:beforeAutospacing="true" w:afterAutospacing="true"/>
        <w:rPr>
          <w:rFonts w:cs="Arial"/>
        </w:rPr>
      </w:pPr>
      <w:r>
        <w:rPr>
          <w:rFonts w:cs="Arial"/>
        </w:rPr>
        <w:t xml:space="preserve">A</w:t>
      </w:r>
    </w:p>
    <w:p>
      <w:pPr>
        <w:keepNext/>
        <w:widowControl w:val="false"/>
        <w:spacing w:beforeAutospacing="true" w:afterAutospacing="true"/>
        <w:rPr>
          <w:rFonts w:cs="Arial"/>
        </w:rPr>
      </w:pPr>
      <w:r>
        <w:rPr>
          <w:rFonts w:cs="Arial"/>
        </w:rPr>
        <w:t xml:space="preserve">Salt Lake County through the use of HOME funds has helped finance the development and improvement of 58 rental housing developments with over 4,000 rental units. HOME funds will continue to be critical in helping support and bring together funding for special needs rental housing developments. Over the five years it is anticipated that at least 10 more rental housing developments will be funded and completed. These projects will include housing for the homeless, seniors and other special needs. Additionally the implementation of the Green &amp; Healthy Homes Initiative Salt Lake will support through funding and education the importance of preservation of existing housing and making homes as healthy as possible.</w:t>
      </w:r>
    </w:p>
    <w:p>
      <w:pPr>
        <w:keepNext/>
        <w:widowControl w:val="false"/>
        <w:rPr>
          <w:b/>
          <w:sz w:val="24"/>
          <w:szCs w:val="24"/>
        </w:rPr>
      </w:pPr>
      <w:r>
        <w:rPr>
          <w:b/>
          <w:sz w:val="24"/>
          <w:szCs w:val="24"/>
        </w:rPr>
        <w:t>Actions planned to reduce lead-based paint hazards</w:t>
      </w:r>
    </w:p>
    <w:p>
      <w:pPr>
        <w:keepNext/>
        <w:widowControl w:val="false"/>
        <w:spacing w:beforeAutospacing="true" w:afterAutospacing="true"/>
        <w:rPr>
          <w:rFonts w:cs="Arial"/>
        </w:rPr>
      </w:pPr>
      <w:r>
        <w:rPr>
          <w:rFonts w:cs="Arial"/>
        </w:rPr>
        <w:t xml:space="preserve">On January 1, 2020 Salt Lake rstarted the implementation of a $5.1 million lead hazard grant to fund the retrofit of 260 homes over the next three and half years. This funding is coupled with a grant from the Center for Disease Control for outreach and education. Additionally as required by the HOME program each project that is older than will receive a lead hazard assessment. These different elements have been combined to put into place Lead Safe alt Lake with the following goals:</w:t>
      </w:r>
      <w:r>
        <w:rPr>
          <w:rFonts w:cs="Arial"/>
          <w:b/>
        </w:rPr>
        <w:br/>
        <w:t xml:space="preserve"/>
      </w:r>
    </w:p>
    <w:p>
      <w:pPr>
        <w:keepNext/>
        <w:widowControl w:val="false"/>
        <w:spacing w:beforeAutospacing="true" w:afterAutospacing="true"/>
        <w:rPr>
          <w:rFonts w:cs="Arial"/>
        </w:rPr>
      </w:pPr>
      <w:r>
        <w:rPr>
          <w:rFonts w:cs="Arial"/>
        </w:rPr>
        <w:t xml:space="preserve">1. Increase the number of children tested for lead poisoning. The Utah Lead Coalition was formed 2017, which consists of 40 agencies working together to increase the number of children tested for lead poisoning.</w:t>
      </w:r>
    </w:p>
    <w:p>
      <w:pPr>
        <w:keepNext/>
        <w:widowControl w:val="false"/>
        <w:spacing w:beforeAutospacing="true" w:afterAutospacing="true"/>
        <w:rPr>
          <w:rFonts w:cs="Arial"/>
        </w:rPr>
      </w:pPr>
      <w:r>
        <w:rPr>
          <w:rFonts w:cs="Arial"/>
        </w:rPr>
        <w:t xml:space="preserve">2. Improve the collection of data and development of surveillance to improve the tracking and analysis of  children who have elevated blood levels</w:t>
      </w:r>
    </w:p>
    <w:p>
      <w:pPr>
        <w:keepNext/>
        <w:widowControl w:val="false"/>
        <w:spacing w:beforeAutospacing="true" w:afterAutospacing="true"/>
        <w:rPr>
          <w:rFonts w:cs="Arial"/>
        </w:rPr>
      </w:pPr>
      <w:r>
        <w:rPr>
          <w:rFonts w:cs="Arial"/>
        </w:rPr>
        <w:t xml:space="preserve">3 Improve the coordination of agencies through Utah Lead Coalition</w:t>
      </w:r>
    </w:p>
    <w:p>
      <w:pPr>
        <w:keepNext/>
        <w:widowControl w:val="false"/>
        <w:spacing w:beforeAutospacing="true" w:afterAutospacing="true"/>
        <w:rPr>
          <w:rFonts w:cs="Arial"/>
        </w:rPr>
      </w:pPr>
      <w:r>
        <w:rPr>
          <w:rFonts w:cs="Arial"/>
        </w:rPr>
        <w:t xml:space="preserve">4. Increase referrals to Salt Lake County's lead safe housing program. </w:t>
      </w:r>
    </w:p>
    <w:p>
      <w:pPr>
        <w:keepNext/>
        <w:widowControl w:val="false"/>
        <w:rPr>
          <w:b/>
          <w:sz w:val="24"/>
          <w:szCs w:val="24"/>
        </w:rPr>
      </w:pPr>
      <w:r>
        <w:rPr>
          <w:b/>
          <w:sz w:val="24"/>
          <w:szCs w:val="24"/>
        </w:rPr>
        <w:t>Actions planned to reduce the number of poverty-level families</w:t>
      </w:r>
    </w:p>
    <w:p>
      <w:pPr>
        <w:keepNext/>
        <w:widowControl w:val="false"/>
        <w:spacing w:beforeAutospacing="true" w:afterAutospacing="true"/>
        <w:rPr>
          <w:rFonts w:cs="Arial"/>
          <w:szCs w:val="26"/>
        </w:rPr>
      </w:pPr>
      <w:r>
        <w:rPr>
          <w:rFonts w:cs="Arial"/>
        </w:rPr>
        <w:t xml:space="preserve">Several initiatives are occurring to help reduce the number of poverty level families. It is a difficult challenge. The improvement in the economy has increased the number of jobs that are available. The Collective Impact for Homelessness is part of an effort to more effectively help low income households become self-sufficient. Improving the health of homes through Green &amp; Healthy Homes Initiative helps low income families with severely sick children to become more stable, able to keep jobs and the children to attend school.</w:t>
      </w:r>
    </w:p>
    <w:p>
      <w:pPr>
        <w:keepNext/>
        <w:widowControl w:val="false"/>
        <w:spacing w:beforeAutospacing="true" w:afterAutospacing="true"/>
        <w:rPr>
          <w:rFonts w:cs="Arial"/>
          <w:szCs w:val="26"/>
        </w:rPr>
      </w:pPr>
    </w:p>
    <w:p>
      <w:pPr>
        <w:keepNext/>
        <w:widowControl w:val="false"/>
        <w:rPr>
          <w:b/>
          <w:sz w:val="24"/>
          <w:szCs w:val="24"/>
        </w:rPr>
      </w:pPr>
      <w:r>
        <w:rPr>
          <w:b/>
          <w:sz w:val="24"/>
          <w:szCs w:val="24"/>
        </w:rPr>
        <w:t xml:space="preserve">Actions planned to develop institutional structure </w:t>
      </w:r>
    </w:p>
    <w:p>
      <w:pPr>
        <w:keepNext/>
        <w:widowControl w:val="false"/>
        <w:spacing w:beforeAutospacing="true" w:afterAutospacing="true"/>
        <w:rPr>
          <w:rFonts w:cs="Arial"/>
        </w:rPr>
      </w:pPr>
      <w:r>
        <w:rPr>
          <w:rFonts w:cs="Arial"/>
        </w:rPr>
        <w:t xml:space="preserve">Sa</w:t>
      </w:r>
    </w:p>
    <w:p>
      <w:pPr>
        <w:keepNext/>
        <w:widowControl w:val="false"/>
        <w:spacing w:beforeAutospacing="true" w:afterAutospacing="true"/>
        <w:rPr>
          <w:rFonts w:cs="Arial"/>
        </w:rPr>
      </w:pPr>
      <w:r>
        <w:rPr>
          <w:rFonts w:cs="Arial"/>
        </w:rPr>
        <w:t xml:space="preserve">Salt Lake County is a national leader in the development and use of Pay for Success/Social Investment Bond financing as a way to meet some of the most critical needs in the community and have more effective outcomes. Salt Lake County supported the development and implementation of Pay for Success investment in improving after school programs and this effort helped improved the reading levels which in turn improve attendance and graduation. Green &amp; Healthy Homes, Homelessness, improving the opportunities for the ones coming out jail, and healthy children are other initiatives that will receive funding through Pay for Success/social investment bonds that will help further develop institutional structure.</w:t>
      </w:r>
    </w:p>
    <w:p>
      <w:pPr>
        <w:keepNext/>
        <w:widowControl w:val="false"/>
        <w:spacing w:beforeAutospacing="true" w:afterAutospacing="true"/>
        <w:rPr>
          <w:rFonts w:cs="Arial"/>
        </w:rPr>
      </w:pPr>
    </w:p>
    <w:p>
      <w:pPr>
        <w:keepNext/>
        <w:widowControl w:val="false"/>
        <w:rPr>
          <w:b/>
          <w:sz w:val="24"/>
          <w:szCs w:val="24"/>
        </w:rPr>
      </w:pPr>
      <w:r>
        <w:rPr>
          <w:b/>
          <w:sz w:val="24"/>
          <w:szCs w:val="24"/>
        </w:rPr>
        <w:t>Actions planned to enhance coordination between public and private housing and social service agencies</w:t>
      </w:r>
    </w:p>
    <w:p>
      <w:pPr>
        <w:keepNext/>
        <w:widowControl w:val="false"/>
        <w:spacing w:beforeAutospacing="true" w:afterAutospacing="true"/>
        <w:rPr>
          <w:rFonts w:cs="Arial"/>
          <w:szCs w:val="26"/>
        </w:rPr>
      </w:pPr>
      <w:r>
        <w:rPr>
          <w:rFonts w:cs="Arial"/>
        </w:rPr>
        <w:t xml:space="preserve">About four years ago Salt Lake County received a Sustainable Communities Planning Grant. After three years a number of issues were resolved and initiatives started to take an integrated regional approach for meeting the current and future needs of housing, transportation, economic development and investment decisions. Impediments to fair housing choice are common impediments shared by most cities within the region.  The most effective mitigation to these common impediments is a coordinated, shared approach by the cities in the region.  Collaboration between service providers and jurisdictions to develop a regional approach has been developed and is being further developed. The Collective Impact Initiative for homelessness and the Green &amp; Healthy Homes Initiative are two other examples of coordinated and integrated approaches that will be used to improve coordination between public and private housing and social service agencies.</w:t>
      </w:r>
    </w:p>
    <w:p>
      <w:pPr>
        <w:keepNext/>
        <w:widowControl w:val="false"/>
        <w:spacing w:beforeAutospacing="true" w:afterAutospacing="true"/>
        <w:rPr>
          <w:rFonts w:cs="Arial"/>
          <w:szCs w:val="26"/>
        </w:rPr>
      </w:pPr>
    </w:p>
    <w:p>
      <w:pPr>
        <w:keepNext/>
        <w:widowControl w:val="false"/>
        <w:spacing w:beforeAutospacing="true" w:afterAutospacing="true"/>
        <w:rPr>
          <w:rFonts w:cs="Arial"/>
          <w:szCs w:val="26"/>
        </w:rPr>
      </w:pPr>
    </w:p>
    <w:p>
      <w:pPr>
        <w:keepNext/>
        <w:widowControl w:val="false"/>
        <w:spacing w:line="204" w:lineRule="auto"/>
        <w:rPr>
          <w:b/>
          <w:sz w:val="24"/>
          <w:szCs w:val="24"/>
        </w:rPr>
      </w:pPr>
      <w:r>
        <w:rPr>
          <w:b/>
          <w:sz w:val="24"/>
          <w:szCs w:val="24"/>
        </w:rPr>
        <w:t>Discussion</w:t>
      </w:r>
    </w:p>
    <w:p>
      <w:pPr>
        <w:keepNext/>
        <w:widowControl w:val="false"/>
        <w:spacing w:beforeAutospacing="true" w:afterAutospacing="true"/>
        <w:rPr>
          <w:rFonts w:cs="Arial"/>
        </w:rPr>
      </w:pPr>
      <w:r>
        <w:rPr>
          <w:rFonts w:cs="Arial"/>
        </w:rPr>
        <w:t xml:space="preserve">The Sustainable Communities Planning Grant is a multi-agency program to encourage the integration of housing, transportation and economic development decision on a regional basis.  HUD’s goal is to raise the priority of housing in the capital investment decision making process. Locally the relevant agencies for coordination are Wasatch Front Regional Council (MPO), Envision Utah, Utah Transit Authority and Utah Department of Transportation.  The housing and transportation needs of protected classes, who are disproportionately public transit dependent, will be a high priority in decisions regarding public transit investments, schedules, routes and fees.  More attention will be given to work on making sure there is equitable housing choices.  The transit needs of protected classes in the long range planning of these agencies is also a major part of these efforts.</w:t>
      </w:r>
    </w:p>
    <w:p>
      <w:pPr>
        <w:keepNext/>
        <w:widowControl w:val="false"/>
        <w:spacing w:beforeAutospacing="true" w:afterAutospacing="true"/>
        <w:rPr>
          <w:rFonts w:cs="Arial"/>
        </w:rPr>
      </w:pPr>
      <w:r>
        <w:rPr>
          <w:rFonts w:cs="Arial"/>
        </w:rPr>
        <w:t xml:space="preserve"> </w:t>
      </w:r>
    </w:p>
    <w:p>
      <w:pPr>
        <w:keepNext/>
        <w:widowControl w:val="false"/>
        <w:spacing w:beforeAutospacing="true" w:afterAutospacing="true"/>
        <w:rPr>
          <w:rFonts w:cs="Arial"/>
        </w:rPr>
      </w:pPr>
      <w:r>
        <w:rPr>
          <w:rFonts w:cs="Arial"/>
        </w:rPr>
        <w:t xml:space="preserve"> </w:t>
      </w:r>
    </w:p>
    <w:p>
      <w:pPr>
        <w:keepNext/>
        <w:widowControl w:val="false"/>
        <w:spacing w:beforeAutospacing="true" w:afterAutospacing="true"/>
        <w:rPr>
          <w:rFonts w:cs="Arial"/>
        </w:rPr>
      </w:pPr>
      <w:r>
        <w:rPr>
          <w:rFonts w:cs="Arial"/>
        </w:rPr>
        <w:t xml:space="preserve"> </w:t>
      </w:r>
    </w:p>
    <w:p>
      <w:pPr>
        <w:keepNext/>
        <w:widowControl w:val="false"/>
        <w:spacing w:line="204" w:lineRule="auto"/>
        <w:rPr>
          <w:rFonts w:cs="Arial"/>
        </w:rPr>
      </w:pPr>
    </w:p>
    <w:p>
      <w:pPr>
        <w:pStyle w:val="Heading1"/>
        <w:pageBreakBefore/>
        <w:jc w:val="center"/>
        <w:rPr>
          <w:rFonts w:ascii="Calibri" w:hAnsi="Calibri"/>
          <w:color w:val="auto"/>
          <w:sz w:val="32"/>
          <w:szCs w:val="32"/>
        </w:rPr>
      </w:pPr>
      <w:r>
        <w:rPr>
          <w:rFonts w:ascii="Calibri" w:hAnsi="Calibri"/>
          <w:color w:val="auto"/>
          <w:sz w:val="32"/>
          <w:szCs w:val="32"/>
        </w:rPr>
        <w:t>Program Specific Requirements</w:t>
      </w:r>
    </w:p>
    <w:p>
      <w:pPr>
        <w:rPr>
          <w:b/>
          <w:sz w:val="28"/>
          <w:szCs w:val="28"/>
        </w:rPr>
      </w:pPr>
      <w:r>
        <w:rPr>
          <w:b/>
          <w:sz w:val="28"/>
          <w:szCs w:val="28"/>
        </w:rPr>
        <w:t>AP-90 Program Specific Requirements - 91.420, 91.220(l)(1,2,4)</w:t>
      </w:r>
    </w:p>
    <w:p>
      <w:pPr>
        <w:keepNext/>
        <w:widowControl w:val="false"/>
        <w:spacing w:line="204" w:lineRule="auto"/>
        <w:rPr>
          <w:b/>
          <w:sz w:val="24"/>
          <w:szCs w:val="24"/>
        </w:rPr>
      </w:pPr>
      <w:r>
        <w:rPr>
          <w:b/>
          <w:sz w:val="24"/>
          <w:szCs w:val="24"/>
        </w:rPr>
        <w:t>Introduction</w:t>
      </w:r>
    </w:p>
    <w:p>
      <w:pPr>
        <w:keepNext/>
        <w:widowControl w:val="false"/>
        <w:spacing w:beforeAutospacing="true" w:afterAutospacing="true"/>
        <w:rPr>
          <w:b/>
          <w:sz w:val="24"/>
          <w:szCs w:val="24"/>
        </w:rPr>
      </w:pPr>
      <w:r>
        <w:rPr>
          <w:rFonts w:cs="Arial"/>
        </w:rPr>
        <w:t xml:space="preserve">Listed below are the program specific requirements for CDBG, HOME and ESG</w:t>
      </w:r>
    </w:p>
    <w:p>
      <w:pPr>
        <w:keepNext/>
        <w:widowControl w:val="false"/>
        <w:spacing w:after="0" w:line="240" w:lineRule="auto"/>
        <w:jc w:val="center"/>
        <w:rPr>
          <w:rFonts w:cs="Arial"/>
          <w:b/>
          <w:sz w:val="24"/>
          <w:szCs w:val="24"/>
        </w:rPr>
      </w:pPr>
      <w:r>
        <w:rPr>
          <w:rFonts w:cs="Arial"/>
          <w:b/>
          <w:sz w:val="24"/>
          <w:szCs w:val="24"/>
        </w:rPr>
        <w:t>Community Development Block Grant Program (CDBG)</w:t>
      </w:r>
      <w:r>
        <w:rPr>
          <w:i/>
        </w:rPr>
        <w:t xml:space="preserve"> </w:t>
      </w:r>
      <w:r>
        <w:rPr>
          <w:rFonts w:cs="Arial"/>
          <w:b/>
          <w:i/>
          <w:sz w:val="24"/>
          <w:szCs w:val="24"/>
        </w:rPr>
      </w:r>
    </w:p>
    <w:p>
      <w:pPr>
        <w:keepNext/>
        <w:widowControl w:val="false"/>
        <w:spacing w:after="0" w:line="240" w:lineRule="auto"/>
        <w:jc w:val="center"/>
        <w:rPr>
          <w:rFonts w:cs="Arial"/>
          <w:b/>
          <w:sz w:val="24"/>
          <w:szCs w:val="24"/>
        </w:rPr>
      </w:pPr>
      <w:r>
        <w:rPr>
          <w:rFonts w:cs="Arial"/>
          <w:b/>
          <w:sz w:val="24"/>
          <w:szCs w:val="24"/>
        </w:rPr>
        <w:t>Reference 24 CFR 91.220(l)(1)</w:t>
      </w:r>
      <w:r>
        <w:rPr>
          <w:i/>
        </w:rPr>
        <w:t xml:space="preserve"> </w:t>
      </w:r>
      <w:r>
        <w:rPr>
          <w:rFonts w:cs="Arial"/>
          <w:b/>
          <w:i/>
          <w:sz w:val="24"/>
          <w:szCs w:val="24"/>
        </w:rPr>
      </w:r>
    </w:p>
    <w:p>
      <w:pPr>
        <w:keepNext/>
        <w:widowControl w:val="false"/>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r>
        <w:rPr>
          <w:rFonts w:cs="Arial"/>
          <w:i/>
        </w:rPr>
      </w:r>
    </w:p>
    <w:p>
      <w:pPr>
        <w:widowControl w:val="false"/>
        <w:spacing w:after="0" w:line="240" w:lineRule="auto"/>
        <w:rPr>
          <w:rFonts w:cs="Arial"/>
        </w:rPr>
      </w:pPr>
    </w:p>
    <w:tbl>
      <w:tblPr>
        <w:tblW w:w="5000" w:type="pct"/>
        <w:tblInd w:w="115" w:type="dxa"/>
        <w:tblLook w:firstRow="1" w:lastRow="1" w:firstColumn="1" w:lastColumn="1" w:noHBand="0" w:noVBand="0" w:val="01E0"/>
      </w:tblPr>
      <w:tblGrid>
        <w:gridCol w:w="8010"/>
        <w:gridCol w:w="1566"/>
      </w:tblGrid>
      <w:tr>
        <w:tc>
          <w:tcPr>
            <w:tcW w:w="9576" w:type="dxa"/>
            <w:gridSpan w:val="2"/>
          </w:tcPr>
          <w:p>
            <w:pPr>
              <w:keepNext/>
              <w:widowControl w:val="false"/>
              <w:spacing w:after="0" w:line="240" w:lineRule="auto"/>
              <w:rPr>
                <w:rFonts w:cs="Arial"/>
              </w:rPr>
            </w:pPr>
            <w:r>
              <w:rPr>
                <w:rFonts w:cs="Arial"/>
              </w:rPr>
            </w:r>
          </w:p>
        </w:tc>
      </w:tr>
      <w:tr>
        <w:trPr>
          <w:cantSplit w:val="true"/>
        </w:trPr>
        <w:tc>
          <w:tcPr>
            <w:vAlign w:val="center"/>
          </w:tcPr>
          <w:p>
            <w:pPr>
              <w:spacing w:beforeAutospacing="true" w:afterAutospacing="true"/>
              <w:jc w:val="left"/>
            </w:pPr>
            <w:r>
              <w:rPr>
                <w:rFonts w:ascii="Calibri" w:hAnsi="Calibri"/>
                <w:color w:val="000000"/>
                <w:sz w:val="22"/>
              </w:rPr>
              <w:t xml:space="preserve">1. The total amount of program income that will have been received before the start of the next program year and that has not yet been reprogrammed</w:t>
            </w:r>
          </w:p>
        </w:tc>
        <w:tc>
          <w:tcPr>
            <w:vAlign w:val="bottom"/>
          </w:tcPr>
          <w:p>
            <w:pPr>
              <w:spacing w:beforeAutospacing="true" w:afterAutospacing="true"/>
              <w:jc w:val="right"/>
            </w:pPr>
            <w:r>
              <w:rPr>
                <w:rFonts w:ascii="Calibri" w:hAnsi="Calibri"/>
                <w:color w:val="000000"/>
                <w:sz w:val="22"/>
              </w:rPr>
              <w:t xml:space="preserve">347,477</w:t>
            </w:r>
          </w:p>
        </w:tc>
      </w:tr>
      <w:tr>
        <w:trPr>
          <w:cantSplit w:val="true"/>
        </w:trPr>
        <w:tc>
          <w:tcPr>
            <w:vAlign w:val="center"/>
          </w:tcPr>
          <w:p>
            <w:pPr>
              <w:spacing w:beforeAutospacing="true" w:afterAutospacing="true"/>
              <w:jc w:val="left"/>
            </w:pPr>
            <w:r>
              <w:rPr>
                <w:rFonts w:ascii="Calibri" w:hAnsi="Calibri"/>
                <w:color w:val="000000"/>
                <w:sz w:val="22"/>
              </w:rPr>
              <w:t xml:space="preserve">2. The amount of proceeds from section 108 loan guarantees that will be used during the year to address the priority needs and specific objectives identified in the grantee's strategic plan.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3. The amount of surplus funds from urban renewal settlements</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4. The amount of any grant funds returned to the line of credit for which the planned use has not been included in a prior statement or plan</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color w:val="000000"/>
                <w:sz w:val="22"/>
              </w:rPr>
              <w:t xml:space="preserve">5. The amount of income from float-funded activities</w:t>
            </w:r>
          </w:p>
        </w:tc>
        <w:tc>
          <w:tcPr>
            <w:vAlign w:val="bottom"/>
          </w:tcPr>
          <w:p>
            <w:pPr>
              <w:spacing w:beforeAutospacing="true" w:afterAutospacing="true"/>
              <w:jc w:val="right"/>
            </w:pPr>
            <w:r>
              <w:rPr>
                <w:rFonts w:ascii="Calibri" w:hAnsi="Calibri"/>
                <w:color w:val="000000"/>
                <w:sz w:val="22"/>
              </w:rPr>
              <w:t xml:space="preserve">0</w:t>
            </w:r>
          </w:p>
        </w:tc>
      </w:tr>
      <w:tr>
        <w:trPr>
          <w:cantSplit w:val="true"/>
        </w:trPr>
        <w:tc>
          <w:tcPr>
            <w:vAlign w:val="center"/>
          </w:tcPr>
          <w:p>
            <w:pPr>
              <w:spacing w:beforeAutospacing="true" w:afterAutospacing="true"/>
              <w:jc w:val="left"/>
            </w:pPr>
            <w:r>
              <w:rPr>
                <w:rFonts w:ascii="Calibri" w:hAnsi="Calibri"/>
                <w:b/>
                <w:color w:val="000000"/>
                <w:sz w:val="22"/>
              </w:rPr>
              <w:t xml:space="preserve">Total Program Income:</w:t>
            </w:r>
          </w:p>
        </w:tc>
        <w:tc>
          <w:tcPr>
            <w:vAlign w:val="center"/>
          </w:tcPr>
          <w:p>
            <w:pPr>
              <w:spacing w:beforeAutospacing="true" w:afterAutospacing="true"/>
              <w:jc w:val="right"/>
            </w:pPr>
            <w:r>
              <w:rPr>
                <w:rFonts w:ascii="Calibri" w:hAnsi="Calibri"/>
                <w:b/>
                <w:color w:val="000000"/>
                <w:sz w:val="22"/>
              </w:rPr>
              <w:t xml:space="preserve">347,477</w:t>
            </w:r>
          </w:p>
        </w:tc>
      </w:tr>
    </w:tbl>
    <w:p>
      <w:pPr>
        <w:keepNext/>
        <w:widowControl w:val="false"/>
        <w:spacing w:after="0" w:line="240" w:lineRule="auto"/>
        <w:rPr>
          <w:rFonts w:cs="Arial"/>
        </w:rPr>
      </w:pPr>
    </w:p>
    <w:p>
      <w:pPr>
        <w:keepNext/>
        <w:widowControl w:val="false"/>
        <w:spacing w:after="0" w:line="240" w:lineRule="auto"/>
        <w:jc w:val="center"/>
        <w:rPr>
          <w:rFonts w:cs="Arial"/>
          <w:b/>
          <w:sz w:val="24"/>
          <w:szCs w:val="24"/>
        </w:rPr>
      </w:pPr>
      <w:r>
        <w:rPr>
          <w:rFonts w:cs="Arial"/>
          <w:b/>
          <w:sz w:val="24"/>
          <w:szCs w:val="24"/>
        </w:rPr>
        <w:t>Other CDBG Requirements</w:t>
      </w:r>
      <w:r>
        <w:rPr>
          <w:i/>
        </w:rPr>
        <w:t xml:space="preserve"> </w:t>
      </w:r>
      <w:r>
        <w:rPr>
          <w:rFonts w:cs="Arial"/>
          <w:b/>
          <w:i/>
          <w:sz w:val="24"/>
          <w:szCs w:val="24"/>
        </w:rPr>
      </w:r>
    </w:p>
    <w:tbl>
      <w:tblPr>
        <w:tblW w:w="5000" w:type="pct"/>
        <w:tblInd w:w="115" w:type="dxa"/>
        <w:tblLook w:firstRow="1" w:lastRow="1" w:firstColumn="1" w:lastColumn="1" w:noHBand="0" w:noVBand="0" w:val="01E0"/>
      </w:tblPr>
      <w:tblGrid>
        <w:gridCol w:w="7916"/>
        <w:gridCol w:w="1660"/>
      </w:tblGrid>
      <w:tr>
        <w:tc>
          <w:tcPr>
            <w:tcW w:w="9576" w:type="dxa"/>
            <w:gridSpan w:val="2"/>
          </w:tcPr>
          <w:p>
            <w:pPr>
              <w:keepNext/>
              <w:widowControl w:val="false"/>
              <w:spacing w:after="0" w:line="240" w:lineRule="auto"/>
              <w:rPr>
                <w:rFonts w:cs="Arial"/>
              </w:rPr>
            </w:pPr>
            <w:r>
              <w:rPr>
                <w:rFonts w:cs="Arial"/>
              </w:rPr>
            </w:r>
          </w:p>
        </w:tc>
      </w:tr>
      <w:tr>
        <w:trPr>
          <w:cantSplit w:val="true"/>
        </w:trPr>
        <w:tc>
          <w:tcPr>
            <w:vAlign w:val="top"/>
          </w:tcPr>
          <w:p>
            <w:pPr>
              <w:spacing w:beforeAutospacing="true" w:afterAutospacing="true"/>
              <w:jc w:val="left"/>
            </w:pPr>
            <w:r>
              <w:rPr>
                <w:rFonts w:ascii="Calibri" w:hAnsi="Calibri"/>
                <w:color w:val="000000"/>
                <w:sz w:val="22"/>
              </w:rPr>
              <w:t xml:space="preserve">1. The amount of urgent need activities</w:t>
            </w:r>
          </w:p>
        </w:tc>
        <w:tc>
          <w:tcPr>
            <w:vAlign w:val="bottom"/>
          </w:tcPr>
          <w:p>
            <w:pPr>
              <w:spacing w:beforeAutospacing="true" w:afterAutospacing="true"/>
              <w:jc w:val="right"/>
            </w:pPr>
            <w:r>
              <w:rPr>
                <w:rFonts w:ascii="Calibri" w:hAnsi="Calibri"/>
                <w:color w:val="000000"/>
                <w:sz w:val="22"/>
              </w:rPr>
              <w:t xml:space="preserve">0</w:t>
            </w:r>
          </w:p>
        </w:tc>
      </w:tr>
    </w:tbl>
    <w:p>
      <w:pPr>
        <w:widowControl w:val="false"/>
        <w:spacing w:after="0" w:line="240" w:lineRule="auto"/>
        <w:rPr>
          <w:rFonts w:cs="Arial"/>
          <w:vanish/>
          <w:sz w:val="4"/>
          <w:szCs w:val="4"/>
        </w:rPr>
      </w:pPr>
    </w:p>
    <w:tbl>
      <w:tblPr>
        <w:tblW w:w="4999" w:type="pct"/>
        <w:tblInd w:w="115" w:type="dxa"/>
        <w:tblLayout w:type="fixed"/>
        <w:tblCellMar>
          <w:left w:w="115" w:type="dxa"/>
          <w:right w:w="115" w:type="dxa"/>
        </w:tblCellMar>
        <w:tblLook w:firstRow="1" w:lastRow="1" w:firstColumn="1" w:lastColumn="1" w:noHBand="0" w:noVBand="0" w:val="01E0"/>
      </w:tblPr>
      <w:tblGrid>
        <w:gridCol w:w="7923"/>
        <w:gridCol w:w="1665"/>
      </w:tblGrid>
      <w:tr>
        <w:tc>
          <w:tcPr>
            <w:tcW w:w="7923" w:type="dxa"/>
          </w:tcPr>
          <w:p>
            <w:pPr>
              <w:keepNext/>
              <w:widowControl w:val="false"/>
              <w:spacing w:after="0" w:line="240" w:lineRule="auto"/>
              <w:rPr>
                <w:rFonts w:cs="Arial"/>
              </w:rPr>
            </w:pPr>
            <w:r>
              <w:rPr>
                <w:rFonts w:cs="Arial"/>
              </w:rPr>
            </w:r>
          </w:p>
        </w:tc>
        <w:tc>
          <w:tcPr>
            <w:tcW w:w="1665" w:type="dxa"/>
          </w:tcPr>
          <w:p>
            <w:pPr>
              <w:keepNext/>
              <w:widowControl w:val="false"/>
              <w:spacing w:after="0" w:line="240" w:lineRule="auto"/>
              <w:rPr>
                <w:rFonts w:cs="Arial"/>
              </w:rPr>
            </w:pPr>
          </w:p>
        </w:tc>
      </w:tr>
      <w:tr>
        <w:trPr>
          <w:cantSplit w:val="true"/>
        </w:trPr>
        <w:tc>
          <w:tcPr>
            <w:vAlign w:val="top"/>
          </w:tcPr>
          <w:p>
            <w:pPr>
              <w:spacing w:beforeAutospacing="true" w:afterAutospacing="true"/>
              <w:jc w:val="left"/>
            </w:pPr>
            <w:r>
              <w:rPr>
                <w:rFonts w:ascii="Calibri" w:hAnsi="Calibri"/>
                <w:color w:val="000000"/>
                <w:sz w:val="22"/>
              </w:rPr>
              <w:t xml:space="preserve">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vAlign w:val="bottom"/>
          </w:tcPr>
          <w:p>
            <w:pPr>
              <w:spacing w:beforeAutospacing="true" w:afterAutospacing="true"/>
              <w:jc w:val="right"/>
            </w:pPr>
            <w:r>
              <w:rPr>
                <w:rFonts w:ascii="Calibri" w:hAnsi="Calibri"/>
                <w:color w:val="000000"/>
                <w:sz w:val="22"/>
              </w:rPr>
              <w:t xml:space="preserve">98.00%</w:t>
            </w:r>
          </w:p>
        </w:tc>
      </w:tr>
    </w:tbl>
    <w:p>
      <w:pPr>
        <w:spacing w:after="0" w:line="240" w:lineRule="auto"/>
        <w:rPr>
          <w:rFonts w:cs="Arial"/>
        </w:rPr>
      </w:pPr>
    </w:p>
    <w:p>
      <w:pPr>
        <w:spacing w:after="0" w:line="240" w:lineRule="auto"/>
        <w:rPr>
          <w:rFonts w:cs="Arial"/>
        </w:rPr>
      </w:pPr>
    </w:p>
    <w:p>
      <w:pPr>
        <w:spacing w:after="0" w:line="240" w:lineRule="auto"/>
        <w:rPr>
          <w:rFonts w:cs="Arial"/>
        </w:rPr>
      </w:pPr>
    </w:p>
    <w:p>
      <w:pPr>
        <w:keepNext/>
        <w:spacing w:after="0" w:line="240" w:lineRule="auto"/>
        <w:jc w:val="center"/>
        <w:rPr>
          <w:rFonts w:cs="Arial"/>
          <w:b/>
          <w:sz w:val="24"/>
          <w:szCs w:val="24"/>
        </w:rPr>
      </w:pPr>
      <w:r>
        <w:rPr>
          <w:rFonts w:cs="Arial"/>
          <w:b/>
          <w:sz w:val="24"/>
          <w:szCs w:val="24"/>
        </w:rPr>
        <w:t>HOME Investment Partnership Program (HOME)</w:t>
      </w:r>
      <w:r>
        <w:rPr>
          <w:i/>
        </w:rPr>
        <w:t xml:space="preserve"> </w:t>
      </w:r>
      <w:r>
        <w:rPr>
          <w:rFonts w:cs="Arial"/>
          <w:b/>
          <w:i/>
          <w:sz w:val="24"/>
          <w:szCs w:val="24"/>
        </w:rPr>
      </w:r>
    </w:p>
    <w:p>
      <w:pPr>
        <w:keepNext/>
        <w:spacing w:after="0" w:line="240" w:lineRule="auto"/>
        <w:jc w:val="center"/>
        <w:rPr>
          <w:rFonts w:cs="Arial"/>
          <w:b/>
          <w:sz w:val="24"/>
          <w:szCs w:val="24"/>
        </w:rPr>
      </w:pPr>
      <w:r>
        <w:rPr>
          <w:rFonts w:cs="Arial"/>
          <w:b/>
          <w:sz w:val="24"/>
          <w:szCs w:val="24"/>
        </w:rPr>
        <w:t>Reference 24 CFR 91.220(l)(2)</w:t>
      </w:r>
      <w:r>
        <w:rPr>
          <w:i/>
        </w:rPr>
        <w:t xml:space="preserve"> </w:t>
      </w:r>
      <w:r>
        <w:rPr>
          <w:rFonts w:cs="Arial"/>
          <w:b/>
          <w:i/>
          <w:sz w:val="24"/>
          <w:szCs w:val="24"/>
        </w:rPr>
      </w:r>
    </w:p>
    <w:p>
      <w:pPr>
        <w:keepNext/>
        <w:widowControl w:val="false"/>
        <w:numPr>
          <w:ilvl w:val="0"/>
          <w:numId w:val="13"/>
        </w:numPr>
        <w:spacing w:after="0" w:line="240" w:lineRule="auto"/>
        <w:rPr>
          <w:rFonts w:cs="Arial"/>
        </w:rPr>
      </w:pPr>
      <w:r>
        <w:rPr>
          <w:rFonts w:cs="Arial"/>
        </w:rPr>
        <w:t>A description of other forms of investment being used beyond those identified in Section 92.205 is as follows:</w:t>
      </w:r>
      <w:r>
        <w:rPr>
          <w:i/>
        </w:rPr>
        <w:t xml:space="preserve"> </w:t>
      </w:r>
      <w:r>
        <w:rPr>
          <w:rFonts w:cs="Arial"/>
          <w:i/>
        </w:rPr>
      </w:r>
    </w:p>
    <w:p>
      <w:pPr>
        <w:keepNext/>
        <w:widowControl w:val="false"/>
        <w:spacing w:beforeAutospacing="true" w:afterAutospacing="true"/>
        <w:ind w:left="360"/>
        <w:rPr>
          <w:rFonts w:cs="Arial"/>
        </w:rPr>
      </w:pPr>
      <w:r>
        <w:rPr>
          <w:rFonts w:cs="Arial"/>
        </w:rPr>
        <w:t xml:space="preserve">For GHHI Salt Lake HOME funds have been combined with foundation, donated labor and materials, and other short term financing provided through industrial banks.</w:t>
      </w:r>
    </w:p>
    <w:p>
      <w:pPr>
        <w:keepNext/>
        <w:widowControl w:val="false"/>
        <w:spacing w:beforeAutospacing="true" w:afterAutospacing="true"/>
        <w:ind w:left="360"/>
        <w:rPr>
          <w:rFonts w:cs="Arial"/>
        </w:rPr>
      </w:pPr>
      <w:r>
        <w:rPr>
          <w:rFonts w:cs="Arial"/>
        </w:rPr>
        <w:t xml:space="preserve">For rental housing developments, the most common other funding consists of Low Income Housing Tax Credits, and the State of Utah Olene Walker funding</w:t>
      </w:r>
    </w:p>
    <w:p>
      <w:pPr>
        <w:keepNext/>
        <w:widowControl w:val="false"/>
        <w:spacing w:beforeAutospacing="true" w:afterAutospacing="true"/>
        <w:ind w:left="360"/>
        <w:rPr>
          <w:rFonts w:cs="Arial"/>
        </w:rPr>
      </w:pPr>
    </w:p>
    <w:p>
      <w:pPr>
        <w:spacing w:after="0" w:line="240" w:lineRule="auto"/>
        <w:rPr>
          <w:rFonts w:cs="Arial"/>
        </w:rPr>
      </w:pPr>
    </w:p>
    <w:p>
      <w:pPr>
        <w:keepNext/>
        <w:widowControl w:val="false"/>
        <w:numPr>
          <w:ilvl w:val="0"/>
          <w:numId w:val="13"/>
        </w:numPr>
        <w:spacing w:after="0" w:line="240" w:lineRule="auto"/>
        <w:rPr>
          <w:rFonts w:cs="Arial"/>
        </w:rPr>
      </w:pPr>
      <w:r>
        <w:rPr>
          <w:rFonts w:cs="Arial"/>
        </w:rPr>
        <w:t>A description of the guidelines that will be used for resale or recapture of HOME funds when used for homebuyer activities as required in 92.254, is as follows:</w:t>
      </w:r>
      <w:r>
        <w:rPr>
          <w:i/>
        </w:rPr>
        <w:t xml:space="preserve"> </w:t>
      </w:r>
      <w:r>
        <w:rPr>
          <w:rFonts w:cs="Arial"/>
          <w:i/>
        </w:rPr>
      </w:r>
    </w:p>
    <w:p>
      <w:pPr>
        <w:keepNext/>
        <w:widowControl w:val="false"/>
        <w:spacing w:beforeAutospacing="true" w:afterAutospacing="true"/>
        <w:ind w:left="360"/>
        <w:rPr>
          <w:rFonts w:cs="Arial"/>
        </w:rPr>
      </w:pPr>
      <w:r>
        <w:rPr>
          <w:rFonts w:cs="Arial"/>
          <w:b/>
        </w:rPr>
        <w:t xml:space="preserve">Salt Lake County Consortium Recapture guidelines</w:t>
      </w:r>
    </w:p>
    <w:p>
      <w:pPr>
        <w:keepNext/>
        <w:widowControl w:val="false"/>
        <w:spacing w:beforeAutospacing="true" w:afterAutospacing="true"/>
        <w:ind w:left="360"/>
        <w:rPr>
          <w:rFonts w:cs="Arial"/>
        </w:rPr>
      </w:pPr>
      <w:r>
        <w:rPr>
          <w:rFonts w:cs="Arial"/>
        </w:rPr>
        <w:t xml:space="preserve">Salt Lake County will follow and implement the HOME recapture provisions established at §92.254.</w:t>
      </w:r>
      <w:r>
        <w:rPr>
          <w:rFonts w:cs="Arial"/>
          <w:b/>
          <w:i/>
        </w:rPr>
        <w:t xml:space="preserve"> </w:t>
      </w:r>
      <w:r>
        <w:rPr>
          <w:rFonts w:cs="Arial"/>
        </w:rPr>
        <w:t xml:space="preserve">If the property sells before the end of the affordability period Salt Lake County will recapture the full amount of HOME funds invested in the home.</w:t>
      </w:r>
    </w:p>
    <w:p>
      <w:pPr>
        <w:keepNext/>
        <w:widowControl w:val="false"/>
        <w:spacing w:beforeAutospacing="true" w:afterAutospacing="true"/>
        <w:ind w:left="360"/>
        <w:rPr>
          <w:rFonts w:cs="Arial"/>
        </w:rPr>
      </w:pPr>
      <w:r>
        <w:rPr>
          <w:rFonts w:cs="Arial"/>
        </w:rPr>
        <w:t xml:space="preserve">In the current 2020 Salt Lake County Consortium Consolidated Action Plans:</w:t>
      </w:r>
    </w:p>
    <w:p>
      <w:pPr>
        <w:numPr>
          <w:ilvl w:val="0"/>
          <w:numId w:val="20"/>
        </w:numPr>
        <w:spacing w:beforeAutospacing="true" w:afterAutospacing="true"/>
      </w:pPr>
      <w:r>
        <w:rPr>
          <w:rFonts w:cs="Arial"/>
        </w:rPr>
        <w:t xml:space="preserve">Salt  Lake County has allocated HOME funds to and contracted with Community Development Corporation to provide downpayment assistance loans and provide housing rehabilitation loans to qualified recipients.</w:t>
      </w:r>
    </w:p>
    <w:p>
      <w:pPr>
        <w:numPr>
          <w:ilvl w:val="0"/>
          <w:numId w:val="20"/>
        </w:numPr>
        <w:spacing w:beforeAutospacing="true" w:afterAutospacing="true"/>
      </w:pPr>
      <w:r>
        <w:rPr>
          <w:rFonts w:cs="Arial"/>
        </w:rPr>
        <w:t xml:space="preserve">Taylorsville City allocates its portion of HOME funds to be administered by Community Development Corporation  of Utah for funding of a downpayment assistance program.</w:t>
      </w:r>
    </w:p>
    <w:p>
      <w:pPr>
        <w:numPr>
          <w:ilvl w:val="0"/>
          <w:numId w:val="20"/>
        </w:numPr>
        <w:spacing w:beforeAutospacing="true" w:afterAutospacing="true"/>
      </w:pPr>
      <w:r>
        <w:rPr>
          <w:rFonts w:cs="Arial"/>
        </w:rPr>
        <w:t xml:space="preserve"> Salt Lake County has allocated HOME funds to Salt Lake Valley Habitat for Humanity to provide rehabilitation loans</w:t>
      </w:r>
    </w:p>
    <w:p>
      <w:pPr>
        <w:numPr>
          <w:ilvl w:val="0"/>
          <w:numId w:val="20"/>
        </w:numPr>
        <w:spacing w:beforeAutospacing="true" w:afterAutospacing="true"/>
      </w:pPr>
      <w:r>
        <w:rPr>
          <w:rFonts w:cs="Arial"/>
        </w:rPr>
        <w:t xml:space="preserve">Salt Lake County has allocated HOME funds to Assist Inc. to provide housing rehabilitation loans.</w:t>
      </w:r>
    </w:p>
    <w:p>
      <w:pPr>
        <w:numPr>
          <w:ilvl w:val="0"/>
          <w:numId w:val="20"/>
        </w:numPr>
        <w:spacing w:beforeAutospacing="true" w:afterAutospacing="true"/>
      </w:pPr>
      <w:r>
        <w:rPr>
          <w:rFonts w:cs="Arial"/>
        </w:rPr>
        <w:t xml:space="preserve">West Valley City uses a portion of its allocation of HOME funds to provide housing rehabilitation loans and downpayment assistance loans.</w:t>
      </w:r>
    </w:p>
    <w:p>
      <w:pPr>
        <w:keepNext/>
        <w:widowControl w:val="false"/>
        <w:spacing w:beforeAutospacing="true" w:afterAutospacing="true"/>
        <w:ind w:left="360"/>
        <w:rPr>
          <w:rFonts w:cs="Arial"/>
        </w:rPr>
      </w:pPr>
      <w:r>
        <w:rPr>
          <w:rFonts w:cs="Arial"/>
        </w:rPr>
        <w:t xml:space="preserve">For its housing rehabilitation and downpayment assistance programs, Salt Lake County will recapture all of the HOME-assistance provided to the original homebuyer and homeowner</w:t>
      </w:r>
    </w:p>
    <w:p>
      <w:pPr>
        <w:keepNext/>
        <w:widowControl w:val="false"/>
        <w:spacing w:beforeAutospacing="true" w:afterAutospacing="true"/>
        <w:ind w:left="360"/>
        <w:rPr>
          <w:rFonts w:cs="Arial"/>
        </w:rPr>
      </w:pPr>
      <w:r>
        <w:rPr>
          <w:rFonts w:cs="Arial"/>
        </w:rPr>
        <w:t xml:space="preserve">The Salt Lake County HOME funded contracts for each of the organizations listed above contain these recapture guidelines.</w:t>
      </w:r>
    </w:p>
    <w:p>
      <w:pPr>
        <w:keepNext/>
        <w:widowControl w:val="false"/>
        <w:spacing w:beforeAutospacing="true" w:afterAutospacing="true"/>
        <w:ind w:left="360"/>
        <w:rPr>
          <w:rFonts w:cs="Arial"/>
        </w:rPr>
      </w:pPr>
      <w:r>
        <w:rPr>
          <w:rFonts w:cs="Arial"/>
        </w:rPr>
        <w:t xml:space="preserve">Salt Lake County will require that each organization listed above will have each household assisted sign a clear, detailed written agreement ensures that all parties are aware of the specific HOME requirements applicable to the unit (recapture requirement), and helps Salt Lake County enforce those requirements. </w:t>
      </w:r>
    </w:p>
    <w:p>
      <w:pPr>
        <w:keepNext/>
        <w:widowControl w:val="false"/>
        <w:spacing w:beforeAutospacing="true" w:afterAutospacing="true"/>
        <w:ind w:left="360"/>
        <w:rPr>
          <w:rFonts w:cs="Arial"/>
        </w:rPr>
      </w:pPr>
      <w:r>
        <w:rPr>
          <w:rFonts w:cs="Arial"/>
        </w:rPr>
        <w:t xml:space="preserve">If the ownership of the housing is conveyed pursuant to a foreclosure or other involuntary sale, Salt Lake will attempt to recoup any net proceeds that may be available through the foreclosure sale.  Because all recapture provisions must be limited to net proceeds, Salt Lake County’s repayment obligation is limited to the amount of the HOME subsidy, if any, that it is able to recover. Net proceeds is defined as the sales price minus the mortgage(s) minus any sales commission, and closing costs.</w:t>
      </w:r>
    </w:p>
    <w:p>
      <w:pPr>
        <w:keepNext/>
        <w:widowControl w:val="false"/>
        <w:spacing w:beforeAutospacing="true" w:afterAutospacing="true"/>
        <w:ind w:left="360"/>
        <w:rPr>
          <w:rFonts w:cs="Arial"/>
        </w:rPr>
      </w:pPr>
      <w:r>
        <w:rPr>
          <w:rFonts w:cs="Arial"/>
        </w:rPr>
        <w:t xml:space="preserve">On rare occasions the house may be sold for less than what the total of the outstanding balance of the mortgages (including the Salt Lake County loan for down payment assistance or housing rehabilitation loan) which are owed.</w:t>
      </w:r>
    </w:p>
    <w:p>
      <w:pPr>
        <w:keepNext/>
        <w:widowControl w:val="false"/>
        <w:spacing w:beforeAutospacing="true" w:afterAutospacing="true"/>
        <w:ind w:left="360"/>
        <w:rPr>
          <w:rFonts w:cs="Arial"/>
        </w:rPr>
      </w:pPr>
      <w:r>
        <w:rPr>
          <w:rFonts w:cs="Arial"/>
        </w:rPr>
        <w:t xml:space="preserve">Once the net proceeds are identified the homeowner may recover his/her investment (downpayment and principal paydown) in the property. After the homeowner has recovered their investment if there any remaining net proceeds they will be shared per the formula listed below.</w:t>
      </w:r>
    </w:p>
    <w:p>
      <w:pPr>
        <w:keepNext/>
        <w:widowControl w:val="false"/>
        <w:spacing w:beforeAutospacing="true" w:afterAutospacing="true"/>
        <w:ind w:left="360"/>
        <w:rPr>
          <w:rFonts w:cs="Arial"/>
        </w:rPr>
      </w:pPr>
      <w:r>
        <w:rPr>
          <w:rFonts w:cs="Arial"/>
          <w:u w:val="single"/>
        </w:rPr>
        <w:t xml:space="preserve">HOME Investment                                         </w:t>
      </w:r>
      <w:r>
        <w:rPr>
          <w:rFonts w:cs="Arial"/>
        </w:rPr>
        <w:t xml:space="preserve"> </w:t>
      </w:r>
    </w:p>
    <w:p>
      <w:pPr>
        <w:keepNext/>
        <w:widowControl w:val="false"/>
        <w:spacing w:beforeAutospacing="true" w:afterAutospacing="true"/>
        <w:ind w:left="360"/>
        <w:rPr>
          <w:rFonts w:cs="Arial"/>
        </w:rPr>
      </w:pPr>
      <w:r>
        <w:rPr>
          <w:rFonts w:cs="Arial"/>
        </w:rPr>
        <w:t xml:space="preserve">HOME Investment + Homeowner Investment     x  Net Proceeds = HOME $ to be recaptured</w:t>
      </w:r>
    </w:p>
    <w:p>
      <w:pPr>
        <w:keepNext/>
        <w:widowControl w:val="false"/>
        <w:spacing w:beforeAutospacing="true" w:afterAutospacing="true"/>
        <w:ind w:left="360"/>
        <w:rPr>
          <w:rFonts w:cs="Arial"/>
        </w:rPr>
      </w:pPr>
      <w:r>
        <w:rPr>
          <w:rFonts w:cs="Arial"/>
        </w:rPr>
        <w:t xml:space="preserve"> </w:t>
      </w:r>
    </w:p>
    <w:p>
      <w:pPr>
        <w:keepNext/>
        <w:widowControl w:val="false"/>
        <w:spacing w:beforeAutospacing="true" w:afterAutospacing="true"/>
        <w:ind w:left="360"/>
        <w:rPr>
          <w:rFonts w:cs="Arial"/>
        </w:rPr>
      </w:pPr>
      <w:r>
        <w:rPr>
          <w:rFonts w:cs="Arial"/>
          <w:u w:val="single"/>
        </w:rPr>
        <w:t xml:space="preserve">Homeowner Investment                                   </w:t>
      </w:r>
    </w:p>
    <w:p>
      <w:pPr>
        <w:keepNext/>
        <w:widowControl w:val="false"/>
        <w:spacing w:beforeAutospacing="true" w:afterAutospacing="true"/>
        <w:ind w:left="360"/>
        <w:rPr>
          <w:rFonts w:cs="Arial"/>
        </w:rPr>
      </w:pPr>
      <w:r>
        <w:rPr>
          <w:rFonts w:cs="Arial"/>
        </w:rPr>
        <w:t xml:space="preserve">HOME Investment + Homeowner Investment  x Net Proceeds = Amount to Homeowner                </w:t>
      </w:r>
    </w:p>
    <w:p>
      <w:pPr>
        <w:keepNext/>
        <w:widowControl w:val="false"/>
        <w:spacing w:beforeAutospacing="true" w:afterAutospacing="true"/>
        <w:ind w:left="360"/>
        <w:rPr>
          <w:rFonts w:cs="Arial"/>
        </w:rPr>
      </w:pPr>
    </w:p>
    <w:p>
      <w:pPr>
        <w:keepNext/>
        <w:widowControl w:val="false"/>
        <w:spacing w:beforeAutospacing="true" w:afterAutospacing="true"/>
        <w:ind w:left="360"/>
        <w:rPr>
          <w:rFonts w:cs="Arial"/>
        </w:rPr>
      </w:pPr>
    </w:p>
    <w:p>
      <w:pPr>
        <w:spacing w:after="0" w:line="240" w:lineRule="auto"/>
        <w:rPr>
          <w:rFonts w:cs="Arial"/>
        </w:rPr>
      </w:pPr>
    </w:p>
    <w:p>
      <w:pPr>
        <w:keepNext/>
        <w:widowControl w:val="false"/>
        <w:numPr>
          <w:ilvl w:val="0"/>
          <w:numId w:val="13"/>
        </w:numPr>
        <w:spacing w:after="0" w:line="240" w:lineRule="auto"/>
        <w:rPr>
          <w:rFonts w:cs="Arial"/>
        </w:rPr>
      </w:pPr>
      <w:r>
        <w:rPr>
          <w:rFonts w:cs="Arial"/>
        </w:rPr>
        <w:t>A description of the guidelines for resale or recapture that ensures the affordability of units acquired with HOME funds? See 24 CFR 92.254(a)(4) are as follows:</w:t>
      </w:r>
      <w:r>
        <w:rPr>
          <w:i/>
        </w:rPr>
        <w:t xml:space="preserve"> </w:t>
      </w:r>
      <w:r>
        <w:rPr>
          <w:rFonts w:cs="Arial"/>
          <w:i/>
        </w:rPr>
      </w:r>
    </w:p>
    <w:p>
      <w:pPr>
        <w:keepNext/>
        <w:widowControl w:val="false"/>
        <w:spacing w:beforeAutospacing="true" w:afterAutospacing="true"/>
        <w:ind w:left="360"/>
        <w:rPr>
          <w:rFonts w:cs="Arial"/>
        </w:rPr>
      </w:pPr>
      <w:r>
        <w:rPr>
          <w:rFonts w:cs="Arial"/>
          <w:b/>
        </w:rPr>
        <w:t xml:space="preserve">             </w:t>
      </w:r>
    </w:p>
    <w:p>
      <w:pPr>
        <w:keepNext/>
        <w:widowControl w:val="false"/>
        <w:spacing w:beforeAutospacing="true" w:afterAutospacing="true"/>
        <w:ind w:left="360"/>
        <w:rPr>
          <w:rFonts w:cs="Arial"/>
        </w:rPr>
      </w:pPr>
      <w:r>
        <w:rPr>
          <w:rFonts w:cs="Arial"/>
        </w:rPr>
        <w:t xml:space="preserve"> Sa</w:t>
      </w:r>
      <w:r>
        <w:rPr>
          <w:rFonts w:cs="Arial"/>
          <w:b/>
        </w:rPr>
        <w:t xml:space="preserve">lt Lake County will follow the requirements of 92.254 (a)(4)</w:t>
      </w:r>
    </w:p>
    <w:p>
      <w:pPr>
        <w:keepNext/>
        <w:widowControl w:val="false"/>
        <w:spacing w:beforeAutospacing="true" w:afterAutospacing="true"/>
        <w:ind w:left="360"/>
        <w:rPr>
          <w:rFonts w:cs="Arial"/>
        </w:rPr>
      </w:pPr>
      <w:r>
        <w:rPr>
          <w:rFonts w:cs="Arial"/>
        </w:rPr>
        <w:t xml:space="preserve">For homebuyer and rental projects, the length of the affordability period depends on the amount of the HOME investment in the property and the nature of the activity funded. Listed below arees the affordability periods. For rehabiliation the lenght of affordabiliyy is deermined by HOME Investment per Unit.</w:t>
      </w:r>
    </w:p>
    <w:p>
      <w:pPr>
        <w:keepNext/>
        <w:widowControl w:val="false"/>
        <w:spacing w:beforeAutospacing="true" w:afterAutospacing="true"/>
        <w:ind w:left="360"/>
        <w:rPr>
          <w:rFonts w:cs="Arial"/>
        </w:rPr>
      </w:pPr>
      <w:r>
        <w:rPr>
          <w:rFonts w:cs="Arial"/>
        </w:rPr>
        <w:t xml:space="preserve">Less than $15,000 5 years</w:t>
      </w:r>
    </w:p>
    <w:p>
      <w:pPr>
        <w:keepNext/>
        <w:widowControl w:val="false"/>
        <w:spacing w:beforeAutospacing="true" w:afterAutospacing="true"/>
        <w:ind w:left="360"/>
        <w:rPr>
          <w:rFonts w:cs="Arial"/>
        </w:rPr>
      </w:pPr>
      <w:r>
        <w:rPr>
          <w:rFonts w:cs="Arial"/>
        </w:rPr>
        <w:t xml:space="preserve">$15,000 - $40,000 10 years</w:t>
      </w:r>
    </w:p>
    <w:p>
      <w:pPr>
        <w:keepNext/>
        <w:widowControl w:val="false"/>
        <w:spacing w:beforeAutospacing="true" w:afterAutospacing="true"/>
        <w:ind w:left="360"/>
        <w:rPr>
          <w:rFonts w:cs="Arial"/>
        </w:rPr>
      </w:pPr>
      <w:r>
        <w:rPr>
          <w:rFonts w:cs="Arial"/>
        </w:rPr>
        <w:t xml:space="preserve">More than $40,000 15 years</w:t>
      </w:r>
    </w:p>
    <w:p>
      <w:pPr>
        <w:keepNext/>
        <w:widowControl w:val="false"/>
        <w:spacing w:beforeAutospacing="true" w:afterAutospacing="true"/>
        <w:ind w:left="360"/>
        <w:rPr>
          <w:rFonts w:cs="Arial"/>
        </w:rPr>
      </w:pPr>
      <w:r>
        <w:rPr>
          <w:rFonts w:cs="Arial"/>
        </w:rPr>
        <w:t xml:space="preserve">New construction 20 years</w:t>
      </w:r>
    </w:p>
    <w:p>
      <w:pPr>
        <w:keepNext/>
        <w:widowControl w:val="false"/>
        <w:spacing w:beforeAutospacing="true" w:afterAutospacing="true"/>
        <w:ind w:left="360"/>
        <w:rPr>
          <w:rFonts w:cs="Arial"/>
        </w:rPr>
      </w:pPr>
      <w:r>
        <w:rPr>
          <w:rFonts w:cs="Arial"/>
        </w:rPr>
        <w:t xml:space="preserve">Salt Lake County downpayment assistance program does not exceed $15,000 per unit, the lenght of affordability for downpayment assistance program is five year</w:t>
      </w:r>
    </w:p>
    <w:p>
      <w:pPr>
        <w:keepNext/>
        <w:widowControl w:val="false"/>
        <w:spacing w:beforeAutospacing="true" w:afterAutospacing="true"/>
        <w:ind w:left="360"/>
        <w:rPr>
          <w:rFonts w:cs="Arial"/>
        </w:rPr>
      </w:pPr>
      <w:r>
        <w:rPr>
          <w:rFonts w:cs="Arial"/>
        </w:rPr>
        <w:t xml:space="preserve">Salt Lake County housing rehabiltiation assistance wll vary, for project uncer $15,000 the lenght of affordability period will be five years, for rehabilitation rpojects over $15,000 and less than $40,000 the afforability period will be ten years, none of our single family housing rehabilitation projects will exceed $40,000. </w:t>
      </w:r>
    </w:p>
    <w:p>
      <w:pPr>
        <w:keepNext/>
        <w:widowControl w:val="false"/>
        <w:spacing w:beforeAutospacing="true" w:afterAutospacing="true"/>
        <w:ind w:left="360"/>
        <w:rPr>
          <w:rFonts w:cs="Arial"/>
        </w:rPr>
      </w:pPr>
      <w:r>
        <w:rPr>
          <w:rFonts w:cs="Arial"/>
        </w:rPr>
        <w:t xml:space="preserve">For rental housing development new construction projects will have deed restriction recorded to esnure the rental unt housing project is in compliance for twenty years.</w:t>
      </w:r>
    </w:p>
    <w:p>
      <w:pPr>
        <w:keepNext/>
        <w:widowControl w:val="false"/>
        <w:spacing w:beforeAutospacing="true" w:afterAutospacing="true"/>
        <w:ind w:left="360"/>
        <w:rPr>
          <w:rFonts w:cs="Arial"/>
        </w:rPr>
      </w:pPr>
      <w:r>
        <w:rPr>
          <w:rFonts w:cs="Arial"/>
        </w:rPr>
        <w:t xml:space="preserve">For the rehabilitation of rental units the afforability period will vary, actoring in subsidy limits and percentage of funding to determine the number of HOME assisted units. The total amount of HOME funds will then be dividied by the number of HOME assisted units to equal the subsidy limit accordaing to dollar amount. For example if the number of HOME assisted units in a project is 10 and the total amount of HOME funds is $300,000 the subsidy per unit is $30,0000 will have a ten year affordability priod enforced by a recorded deed restriction</w:t>
      </w:r>
    </w:p>
    <w:p>
      <w:pPr>
        <w:keepNext/>
        <w:widowControl w:val="false"/>
        <w:spacing w:beforeAutospacing="true" w:afterAutospacing="true"/>
        <w:ind w:left="360"/>
        <w:rPr>
          <w:rFonts w:cs="Arial"/>
        </w:rPr>
      </w:pPr>
      <w:r>
        <w:rPr>
          <w:rFonts w:cs="Arial"/>
        </w:rPr>
        <w:t xml:space="preserve"> </w:t>
      </w:r>
    </w:p>
    <w:p>
      <w:pPr>
        <w:spacing w:after="0" w:line="240" w:lineRule="auto"/>
        <w:rPr>
          <w:rFonts w:cs="Arial"/>
        </w:rPr>
      </w:pPr>
    </w:p>
    <w:p>
      <w:pPr>
        <w:keepNext/>
        <w:widowControl w:val="false"/>
        <w:numPr>
          <w:ilvl w:val="0"/>
          <w:numId w:val="13"/>
        </w:numPr>
        <w:spacing w:after="0" w:line="240" w:lineRule="auto"/>
        <w:rPr>
          <w:rFonts w:cs="Arial"/>
        </w:rPr>
      </w:pPr>
      <w:r>
        <w:rPr>
          <w:rFonts w:cs="Arial"/>
        </w:rPr>
        <w:t>Plans for using HOME funds to refinance existing debt secured by multifamily housing that is rehabilitated with HOME funds along with a description of the refinancing guidelines required that will be used under 24 CFR 92.206(b), are as follows:</w:t>
      </w:r>
      <w:r>
        <w:rPr>
          <w:i/>
        </w:rPr>
        <w:t xml:space="preserve"> </w:t>
      </w:r>
      <w:r>
        <w:rPr>
          <w:rFonts w:cs="Arial"/>
          <w:i/>
        </w:rPr>
      </w:r>
    </w:p>
    <w:p>
      <w:pPr>
        <w:keepNext/>
        <w:widowControl w:val="false"/>
        <w:spacing w:beforeAutospacing="true" w:afterAutospacing="true"/>
        <w:ind w:left="360"/>
        <w:rPr>
          <w:rFonts w:cs="Arial"/>
        </w:rPr>
      </w:pPr>
      <w:r>
        <w:rPr>
          <w:rFonts w:cs="Arial"/>
        </w:rPr>
        <w:t xml:space="preserve">There are no plans to use HOME funds to help refinance</w:t>
      </w:r>
    </w:p>
    <w:p>
      <w:pPr>
        <w:spacing w:after="0" w:line="240" w:lineRule="auto"/>
        <w:ind w:left="360"/>
        <w:rPr>
          <w:rFonts w:cs="Arial"/>
        </w:rPr>
      </w:pPr>
    </w:p>
    <w:p>
      <w:pPr>
        <w:keepNext/>
        <w:widowControl w:val="false"/>
        <w:spacing w:after="0" w:line="240" w:lineRule="auto"/>
        <w:jc w:val="center"/>
        <w:rPr>
          <w:rFonts w:cs="Arial"/>
          <w:b/>
          <w:sz w:val="24"/>
          <w:szCs w:val="24"/>
        </w:rPr>
      </w:pPr>
      <w:r>
        <w:rPr>
          <w:rFonts w:cs="Arial"/>
          <w:b/>
          <w:sz w:val="24"/>
          <w:szCs w:val="24"/>
        </w:rPr>
        <w:t>Emergency Solutions Grant (ESG)</w:t>
        <w:br/>
        <w:t>Reference 91.220(l)(4)</w:t>
      </w:r>
      <w:r>
        <w:rPr>
          <w:i/>
        </w:rPr>
        <w:t xml:space="preserve"> </w:t>
      </w:r>
      <w:r>
        <w:rPr>
          <w:rFonts w:cs="Arial"/>
          <w:b/>
          <w:i/>
          <w:sz w:val="24"/>
          <w:szCs w:val="24"/>
        </w:rPr>
      </w:r>
    </w:p>
    <w:p>
      <w:pPr>
        <w:keepNext/>
        <w:widowControl w:val="false"/>
        <w:spacing w:after="0" w:line="240" w:lineRule="auto"/>
        <w:jc w:val="center"/>
        <w:rPr>
          <w:rFonts w:cs="Arial"/>
          <w:b/>
          <w:sz w:val="24"/>
          <w:szCs w:val="24"/>
        </w:rPr>
      </w:pPr>
    </w:p>
    <w:p>
      <w:pPr>
        <w:keepNext/>
        <w:widowControl w:val="false"/>
        <w:numPr>
          <w:ilvl w:val="0"/>
          <w:numId w:val="14"/>
        </w:numPr>
        <w:spacing w:after="0" w:line="240" w:lineRule="auto"/>
        <w:rPr>
          <w:rFonts w:cs="Arial"/>
        </w:rPr>
      </w:pPr>
      <w:r>
        <w:rPr>
          <w:sz w:val="24"/>
          <w:szCs w:val="24"/>
        </w:rPr>
        <w:t>Include written standards for providing ESG assistance (may include as attachment)</w:t>
      </w:r>
      <w:r>
        <w:rPr>
          <w:i/>
        </w:rPr>
        <w:t xml:space="preserve"> </w:t>
      </w:r>
      <w:r>
        <w:rPr>
          <w:i/>
          <w:sz w:val="24"/>
          <w:szCs w:val="24"/>
        </w:rPr>
      </w:r>
    </w:p>
    <w:p>
      <w:pPr>
        <w:keepNext/>
        <w:widowControl w:val="false"/>
        <w:spacing w:beforeAutospacing="true" w:afterAutospacing="true"/>
        <w:ind w:left="360"/>
        <w:rPr>
          <w:rFonts w:cs="Arial"/>
        </w:rPr>
      </w:pPr>
      <w:r>
        <w:rPr>
          <w:rFonts w:cs="Arial"/>
          <w:b/>
        </w:rPr>
        <w:t xml:space="preserve">In Attachment 2 is found the Salt Lake County Emergency Solutions Grant Policy and Procedures.</w:t>
      </w:r>
      <w:r>
        <w:rPr>
          <w:rFonts w:cs="Arial"/>
        </w:rPr>
        <w:t xml:space="preserve">  </w:t>
      </w:r>
    </w:p>
    <w:p>
      <w:pPr>
        <w:keepNext/>
        <w:widowControl w:val="false"/>
        <w:spacing w:beforeAutospacing="true" w:afterAutospacing="true"/>
        <w:ind w:left="360"/>
        <w:rPr>
          <w:rFonts w:cs="Arial"/>
        </w:rPr>
      </w:pPr>
    </w:p>
    <w:p>
      <w:pPr>
        <w:keepNext/>
        <w:widowControl w:val="false"/>
        <w:spacing w:beforeAutospacing="true" w:afterAutospacing="true"/>
        <w:ind w:left="360"/>
        <w:rPr>
          <w:rFonts w:cs="Arial"/>
        </w:rPr>
      </w:pPr>
      <w:r>
        <w:rPr>
          <w:rFonts w:cs="Arial"/>
        </w:rPr>
        <w:t xml:space="preserve">These fund are included as part of our streamlined funding process.  We have combined the funding from ESG, the 15% Public Service CDBG, and the Social Services Block grant funding to address our funding priorities to allow for more impactful outcomes for our County residents.  </w:t>
      </w:r>
    </w:p>
    <w:p>
      <w:pPr>
        <w:keepNext/>
        <w:widowControl w:val="false"/>
        <w:numPr>
          <w:ilvl w:val="0"/>
          <w:numId w:val="14"/>
        </w:numPr>
        <w:spacing w:after="0" w:line="240" w:lineRule="auto"/>
        <w:rPr>
          <w:rFonts w:cs="Arial"/>
        </w:rPr>
      </w:pPr>
      <w:r>
        <w:rPr>
          <w:sz w:val="24"/>
          <w:szCs w:val="24"/>
        </w:rPr>
        <w:t>If the Continuum of Care has established centralized or coordinated assessment system that meets HUD requirements, describe that centralized or coordinated assessment system.</w:t>
      </w:r>
      <w:r>
        <w:rPr>
          <w:i/>
        </w:rPr>
        <w:t xml:space="preserve"> </w:t>
      </w:r>
      <w:r>
        <w:rPr>
          <w:i/>
          <w:sz w:val="24"/>
          <w:szCs w:val="24"/>
        </w:rPr>
      </w:r>
    </w:p>
    <w:p>
      <w:pPr>
        <w:numPr>
          <w:ilvl w:val="0"/>
          <w:numId w:val="21"/>
        </w:numPr>
        <w:spacing w:beforeAutospacing="true" w:afterAutospacing="true"/>
      </w:pPr>
      <w:r>
        <w:rPr>
          <w:rFonts w:cs="Arial"/>
        </w:rPr>
        <w:t xml:space="preserve">There are currently systems in place for the Chronically Homeless, Homeless Veterans and Families.  The process for the Chronically Homeless includes a Community Triage Group of agencies that meet each week at The Road Home to evaluate client needs.  They use the SPDAT and other information to assess progress and status of clients. This same process is in place for homeless veterans however the Veterans Administration is a partner in these weekly meetings to ensure the certifications for actual veterans status is included in the process.  The Road Home is currently the lead agency for coordinated intake for families as well.  They continually provide training for all agencies to ensure the referral process is working.  Approximately 25-30% of the clients currently being placed are coming from referral agencies.  The new NOFA for the CoC may provide additional funds to assist with the analysis of these processes to evaluate effectiveness and outcomes.  </w:t>
      </w:r>
    </w:p>
    <w:p>
      <w:pPr>
        <w:widowControl w:val="false"/>
        <w:spacing w:beforeAutospacing="true" w:afterAutospacing="true"/>
        <w:ind w:left="360"/>
        <w:rPr>
          <w:rFonts w:cs="Arial"/>
        </w:rPr>
      </w:pPr>
      <w:r>
        <w:rPr>
          <w:rFonts w:cs="Arial"/>
        </w:rPr>
        <w:t xml:space="preserve">  </w:t>
      </w:r>
    </w:p>
    <w:p>
      <w:pPr>
        <w:keepNext/>
        <w:widowControl w:val="false"/>
        <w:numPr>
          <w:ilvl w:val="0"/>
          <w:numId w:val="14"/>
        </w:numPr>
        <w:spacing w:after="0" w:line="240" w:lineRule="auto"/>
        <w:rPr>
          <w:rFonts w:cs="Arial"/>
        </w:rPr>
      </w:pPr>
      <w:r>
        <w:rPr>
          <w:sz w:val="24"/>
          <w:szCs w:val="24"/>
        </w:rPr>
        <w:t>Identify the process for making sub-awards and describe how the ESG allocation available to private nonprofit organizations (including community and faith-based organizations).</w:t>
      </w:r>
      <w:r>
        <w:rPr>
          <w:i/>
        </w:rPr>
        <w:t xml:space="preserve"> </w:t>
      </w:r>
      <w:r>
        <w:rPr>
          <w:i/>
          <w:sz w:val="24"/>
          <w:szCs w:val="24"/>
        </w:rPr>
      </w:r>
    </w:p>
    <w:p>
      <w:pPr>
        <w:widowControl w:val="false"/>
        <w:spacing w:beforeAutospacing="true" w:afterAutospacing="true"/>
        <w:ind w:left="360"/>
        <w:rPr>
          <w:rFonts w:cs="Arial"/>
        </w:rPr>
      </w:pPr>
      <w:r>
        <w:rPr>
          <w:rFonts w:cs="Arial"/>
          <w:b/>
        </w:rPr>
        <w:t xml:space="preserve">Several changes were made in the grant process for this new timeframe.</w:t>
      </w:r>
      <w:r>
        <w:rPr>
          <w:rFonts w:cs="Arial"/>
        </w:rPr>
        <w:t xml:space="preserve">  A new process has been implemented where all ESG, CDBG Public Service, and SSBG funds are pooled and distributed through a collaborative decision-making process. Under this new process, applicants, including both non-profit service providers including community and faith-based organizations and local jurisdictions, will apply for funding through an open RFP process. The Citizen Participation Process has been amended to include two citizen review committees that better reflects the various jurisdictions and have expertise in the areas of services to score and rank the various applications. A representative of the Continuum of Care is include as a member of the review committee that scores and ranks the ESG funds.   The County will then hold a joint public hearing to solicit public input on the preliminary budget recommendations from the citizen committees.   Following the public hearing, the approval body will either consent to the preliminary budget, or in consultation with the County Mayor, recommend modifications to it. Upon receiving the final budget recommendation of the approval body, final approval will be made and submitted to HUD.  This process creates a more streamlined, efficient and effective grant process for all involved and will enable the County to collectively have a greater impact to the challenges we seek to address.  To ensure coordination of funding for the crisis services, the County coordinates with the housing Authorities as well as the Continuum of Care on policies and priorities to ensure all activities funded compliment each other rather than duplicate services.If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p>
    <w:p>
      <w:pPr>
        <w:widowControl w:val="false"/>
        <w:spacing w:beforeAutospacing="true" w:afterAutospacing="true"/>
        <w:ind w:left="360"/>
        <w:rPr>
          <w:rFonts w:cs="Arial"/>
        </w:rPr>
      </w:pPr>
      <w:r>
        <w:rPr>
          <w:rFonts w:cs="Arial"/>
        </w:rPr>
        <w:t xml:space="preserve">All agencies are provided technical assistance as well as training regarding the unique program requirements for each of the grant sources included in our collaborative process.  This includes the match requirements for each program as well as the homeless participation requirement for the ESG program.  Any agency that is unable to meet this requirement is not allocated funding from this program source.  THis requirement is verified for all agencies that recieve ESG funding though monitoring as well as by reviewing their policies and board lists.</w:t>
      </w:r>
    </w:p>
    <w:p>
      <w:pPr>
        <w:keepNext/>
        <w:widowControl w:val="false"/>
        <w:numPr>
          <w:ilvl w:val="0"/>
          <w:numId w:val="14"/>
        </w:numPr>
        <w:spacing w:after="0" w:line="240" w:lineRule="auto"/>
        <w:rPr>
          <w:rFonts w:cs="Arial"/>
        </w:rPr>
      </w:pPr>
      <w:r>
        <w:rPr>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Pr>
          <w:i/>
        </w:rPr>
        <w:t xml:space="preserve"> </w:t>
      </w:r>
      <w:r>
        <w:rPr>
          <w:i/>
          <w:sz w:val="24"/>
          <w:szCs w:val="24"/>
        </w:rPr>
      </w:r>
    </w:p>
    <w:p>
      <w:pPr>
        <w:widowControl w:val="false"/>
        <w:spacing w:beforeAutospacing="true" w:afterAutospacing="true"/>
        <w:ind w:left="360"/>
        <w:rPr>
          <w:rFonts w:cs="Arial"/>
        </w:rPr>
      </w:pPr>
      <w:r>
        <w:rPr>
          <w:rFonts w:cs="Arial"/>
        </w:rPr>
        <w:t xml:space="preserve">All programs for the Emergency Solutions Grant are evaluated according to the identified outputs and performance indicators outlined in the Request for Proposals and included in each contract.  These are measured each quarter as agencies work toward providing the outcomes of their programs.  All programs are evaluated on timeliness of payment requests and how they meet the reporting requirements of the program.  All ESG Subgrantees are required to enter data into the State HMIS system except agencies that provide domestic violence services.  These agencies are required to submit the same type of summary data provided by HMIS on a quarterly basis.  As the priorities are identified, the County works with the State, Salt Lake City (Entitlement Jurisdiction) and the Continuum of Care to review performance standardes and outcomes identified for projects and activities.  This allows consistency as the programs provide the services to homeless and those at risk of becoming homeless.  As a funding agency, the County works with the State HMIS office on reporting requirements to again ensure consistency in information and data quality</w:t>
      </w:r>
    </w:p>
    <w:p>
      <w:pPr>
        <w:keepNext/>
        <w:widowControl w:val="false"/>
        <w:numPr>
          <w:ilvl w:val="0"/>
          <w:numId w:val="14"/>
        </w:numPr>
        <w:spacing w:after="0" w:line="240" w:lineRule="auto"/>
        <w:rPr>
          <w:rFonts w:cs="Arial"/>
          <w:i/>
        </w:rPr>
      </w:pPr>
      <w:r>
        <w:rPr>
          <w:sz w:val="24"/>
          <w:szCs w:val="24"/>
        </w:rPr>
        <w:t>Describe performance standards for evaluating ESG.</w:t>
      </w:r>
      <w:r>
        <w:rPr>
          <w:i/>
        </w:rPr>
        <w:t xml:space="preserve"> </w:t>
      </w:r>
      <w:r>
        <w:rPr>
          <w:i/>
          <w:sz w:val="24"/>
          <w:szCs w:val="24"/>
        </w:rPr>
      </w:r>
    </w:p>
    <w:p>
      <w:pPr>
        <w:widowControl w:val="false"/>
        <w:spacing w:beforeAutospacing="true" w:afterAutospacing="true"/>
        <w:ind w:left="360"/>
        <w:rPr>
          <w:rFonts w:cs="Arial"/>
        </w:rPr>
      </w:pPr>
      <w:r>
        <w:rPr>
          <w:rFonts w:cs="Arial"/>
        </w:rPr>
        <w:t xml:space="preserve">All programs for the Emergency Solutions Grant are evaluated according to the identified outputs and performance indicators outlined in the Request for Proposals and included in each contract.  These are measured each quarter as agencies work toward providing the outcomes of their programs.  All programs are evaluated on timeliness of payment requests and how they meet the reporting requirements of the program.  All ESG Subgrantees are required to enter data into the State HMIS system except agencies that provide domestic violence services.  These agencies are required to submit the same type of summary data provided by HMIS on a quarterly basis.  As the priorities are identified, the County works with the State, Salt Lake City (Entitlement Jurisdiction) and the Continuum of Care to review performance standardes and outcomes identified for projects and activities.  This allows consistency as the programs provide the services to homeless and those at risk of becoming homeless.  As a funding agency, the County works with the State HMIS office on reporting requirements to again ensure consistency in information and data quality.</w:t>
      </w:r>
    </w:p>
    <w:p>
      <w:pPr>
        <w:rPr>
          <w:b/>
          <w:sz w:val="24"/>
          <w:szCs w:val="24"/>
        </w:rPr>
      </w:pPr>
      <w:r>
        <w:rPr>
          <w:b/>
          <w:sz w:val="24"/>
          <w:szCs w:val="24"/>
        </w:rPr>
        <w:t>Discussion</w:t>
      </w:r>
    </w:p>
    <w:p>
      <w:pPr>
        <w:spacing w:beforeAutospacing="true" w:afterAutospacing="true"/>
        <w:rPr>
          <w:rFonts w:cs="Arial"/>
        </w:rPr>
      </w:pPr>
      <w:r>
        <w:rPr>
          <w:rFonts w:cs="Arial"/>
        </w:rPr>
        <w:t xml:space="preserve">Salt Lake County</w:t>
      </w:r>
    </w:p>
    <w:p>
      <w:pPr>
        <w:spacing w:after="0" w:line="240" w:lineRule="auto"/>
        <w:rPr>
          <w:rFonts w:cs="Arial"/>
        </w:rPr>
      </w:pPr>
      <w:r>
        <w:rPr>
          <w:rFonts w:cs="Arial"/>
        </w:rPr>
        <w:br w:type="page"/>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tbl>
    <w:tblPr>
      <w:tblW w:w="0" w:type="auto"/>
      <w:jc w:val="center"/>
      <w:tblLayout w:type="fixed"/>
      <w:tblLook w:firstRow="1" w:lastRow="1" w:firstColumn="1" w:lastColumn="1" w:noHBand="0" w:noVBand="0" w:val="01E0"/>
    </w:tblPr>
    <w:tblGrid>
      <w:gridCol w:w="828"/>
      <w:gridCol w:w="7976"/>
      <w:gridCol w:w="772"/>
    </w:tblGrid>
    <w:tr>
      <w:trPr>
        <w:jc w:val="center"/>
      </w:trPr>
      <w:tc>
        <w:tcPr>
          <w:tcW w:w="828" w:type="dxa"/>
        </w:tcPr>
        <w:p>
          <w:pPr>
            <w:pStyle w:val="Footer"/>
            <w:spacing w:after="0" w:line="240" w:lineRule="auto"/>
            <w:jc w:val="center"/>
          </w:pPr>
        </w:p>
      </w:tc>
      <w:tc>
        <w:tcPr>
          <w:tcW w:w="7976" w:type="dxa"/>
        </w:tcPr>
        <w:p>
          <w:pPr>
            <w:pStyle w:val="Footer"/>
            <w:spacing w:after="0" w:line="240" w:lineRule="auto"/>
            <w:jc w:val="center"/>
          </w:pPr>
          <w:r>
            <w:t>Annual Action Plan</w:t>
          </w:r>
        </w:p>
        <w:p>
          <w:pPr>
            <w:pStyle w:val="Footer"/>
            <w:spacing w:after="0" w:line="240" w:lineRule="auto"/>
            <w:jc w:val="center"/>
            <w:rPr>
              <w:rFonts w:cs="Arial"/>
            </w:rPr>
          </w:pPr>
          <w:r>
            <w:t>2020</w:t>
          </w:r>
        </w:p>
      </w:tc>
      <w:tc>
        <w:tcPr>
          <w:tcW w:w="772" w:type="dxa"/>
        </w:tcPr>
        <w:p>
          <w:pPr>
            <w:pStyle w:val="Footer"/>
            <w:spacing w:after="0" w:line="240" w:lineRule="auto"/>
            <w:jc w:val="right"/>
          </w:pPr>
          <w:r>
            <w:fldChar w:fldCharType="begin"/>
            <w:instrText>page</w:instrText>
            <w:fldChar w:fldCharType="separate"/>
            <w:t>5</w:t>
            <w:fldChar w:fldCharType="end"/>
          </w:r>
        </w:p>
      </w:tc>
    </w:tr>
  </w:tbl>
  <w:p>
    <w:pPr>
      <w:pStyle w:val="Footer"/>
      <w:spacing w:before="120" w:after="0"/>
      <w:rPr>
        <w:rFonts w:asciiTheme="minorHAnsi" w:hAnsiTheme="minorHAnsi"/>
        <w:b/>
        <w:i/>
        <w:sz w:val="16"/>
      </w:rPr>
    </w:pPr>
    <w:r>
      <w:rPr>
        <w:rFonts w:cs="Arial" w:asciiTheme="minorHAnsi" w:hAnsiTheme="minorHAnsi"/>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tbl>
    <w:tblPr>
      <w:tblW w:w="0" w:type="auto"/>
      <w:jc w:val="center"/>
      <w:tblLayout w:type="fixed"/>
      <w:tblLook w:firstRow="1" w:lastRow="1" w:firstColumn="1" w:lastColumn="1" w:noHBand="0" w:noVBand="0" w:val="01E0"/>
    </w:tblPr>
    <w:tblGrid>
      <w:gridCol w:w="828"/>
      <w:gridCol w:w="7976"/>
      <w:gridCol w:w="772"/>
    </w:tblGrid>
    <w:tr>
      <w:trPr>
        <w:jc w:val="center"/>
      </w:trPr>
      <w:tc>
        <w:tcPr>
          <w:tcW w:w="828" w:type="dxa"/>
        </w:tcPr>
        <w:p>
          <w:pPr>
            <w:pStyle w:val="Footer"/>
            <w:spacing w:after="0" w:line="240" w:lineRule="auto"/>
            <w:jc w:val="center"/>
          </w:pPr>
        </w:p>
      </w:tc>
      <w:tc>
        <w:tcPr>
          <w:tcW w:w="7976" w:type="dxa"/>
        </w:tcPr>
        <w:p>
          <w:pPr>
            <w:pStyle w:val="Footer"/>
            <w:spacing w:after="0" w:line="240" w:lineRule="auto"/>
            <w:jc w:val="center"/>
          </w:pPr>
          <w:r>
            <w:t>Annual Action Plan</w:t>
          </w:r>
        </w:p>
        <w:p>
          <w:pPr>
            <w:pStyle w:val="Footer"/>
            <w:spacing w:after="0" w:line="240" w:lineRule="auto"/>
            <w:jc w:val="center"/>
            <w:rPr>
              <w:rFonts w:cs="Arial"/>
            </w:rPr>
          </w:pPr>
          <w:r>
            <w:t>2020</w:t>
          </w:r>
        </w:p>
      </w:tc>
      <w:tc>
        <w:tcPr>
          <w:tcW w:w="772" w:type="dxa"/>
        </w:tcPr>
        <w:p>
          <w:pPr>
            <w:pStyle w:val="Footer"/>
            <w:spacing w:after="0" w:line="240" w:lineRule="auto"/>
            <w:jc w:val="right"/>
          </w:pPr>
          <w:r>
            <w:fldChar w:fldCharType="begin"/>
            <w:instrText>page</w:instrText>
            <w:fldChar w:fldCharType="separate"/>
            <w:t>13</w:t>
            <w:fldChar w:fldCharType="end"/>
          </w:r>
        </w:p>
      </w:tc>
    </w:tr>
  </w:tbl>
  <w:p>
    <w:pPr>
      <w:pStyle w:val="Footer"/>
      <w:spacing w:before="120" w:after="0"/>
      <w:rPr>
        <w:rFonts w:asciiTheme="minorHAnsi" w:hAnsiTheme="minorHAnsi"/>
        <w:b/>
        <w:i/>
        <w:sz w:val="16"/>
      </w:rPr>
    </w:pPr>
    <w:r>
      <w:rPr>
        <w:rFonts w:cs="Arial" w:asciiTheme="minorHAnsi" w:hAnsiTheme="minorHAnsi"/>
        <w:color w:val="000000"/>
        <w:sz w:val="16"/>
      </w:rPr>
      <w:t xml:space="preserve">OMB Control No: 2506-0117 (exp. </w:t>
    </w:r>
    <w:bookmarkStart w:id="1" w:name="_GoBack"/>
    <w:r>
      <w:rPr>
        <w:rFonts w:cs="Arial" w:asciiTheme="minorHAnsi" w:hAnsiTheme="minorHAnsi"/>
        <w:color w:val="000000"/>
        <w:sz w:val="16"/>
      </w:rPr>
      <w:t>09/30/2021</w:t>
    </w:r>
    <w:bookmarkEnd w:id="1"/>
    <w:r>
      <w:rPr>
        <w:rFonts w:cs="Arial" w:asciiTheme="minorHAnsi" w:hAnsiTheme="minorHAnsi"/>
        <w:color w:val="000000"/>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hint="default" w:ascii="Symbol" w:hAnsi="Symbol"/>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true">
      <w:start w:val="1"/>
      <w:numFmt w:val="lowerLetter"/>
      <w:lvlText w:val="%2."/>
      <w:lvlJc w:val="left"/>
      <w:pPr>
        <w:tabs>
          <w:tab w:val="num" w:pos="1440"/>
        </w:tabs>
        <w:ind w:left="1440" w:hanging="360"/>
      </w:pPr>
      <w:rPr>
        <w:rFonts w:cs="Times New Roman"/>
      </w:rPr>
    </w:lvl>
    <w:lvl w:ilvl="2" w:tplc="0409001B" w:tentative="true">
      <w:start w:val="1"/>
      <w:numFmt w:val="lowerRoman"/>
      <w:lvlText w:val="%3."/>
      <w:lvlJc w:val="right"/>
      <w:pPr>
        <w:tabs>
          <w:tab w:val="num" w:pos="2160"/>
        </w:tabs>
        <w:ind w:left="2160" w:hanging="180"/>
      </w:pPr>
      <w:rPr>
        <w:rFonts w:cs="Times New Roman"/>
      </w:rPr>
    </w:lvl>
    <w:lvl w:ilvl="3" w:tplc="0409000F" w:tentative="true">
      <w:start w:val="1"/>
      <w:numFmt w:val="decimal"/>
      <w:lvlText w:val="%4."/>
      <w:lvlJc w:val="left"/>
      <w:pPr>
        <w:tabs>
          <w:tab w:val="num" w:pos="2880"/>
        </w:tabs>
        <w:ind w:left="2880" w:hanging="360"/>
      </w:pPr>
      <w:rPr>
        <w:rFonts w:cs="Times New Roman"/>
      </w:rPr>
    </w:lvl>
    <w:lvl w:ilvl="4" w:tplc="04090019" w:tentative="true">
      <w:start w:val="1"/>
      <w:numFmt w:val="lowerLetter"/>
      <w:lvlText w:val="%5."/>
      <w:lvlJc w:val="left"/>
      <w:pPr>
        <w:tabs>
          <w:tab w:val="num" w:pos="3600"/>
        </w:tabs>
        <w:ind w:left="3600" w:hanging="360"/>
      </w:pPr>
      <w:rPr>
        <w:rFonts w:cs="Times New Roman"/>
      </w:rPr>
    </w:lvl>
    <w:lvl w:ilvl="5" w:tplc="0409001B" w:tentative="true">
      <w:start w:val="1"/>
      <w:numFmt w:val="lowerRoman"/>
      <w:lvlText w:val="%6."/>
      <w:lvlJc w:val="right"/>
      <w:pPr>
        <w:tabs>
          <w:tab w:val="num" w:pos="4320"/>
        </w:tabs>
        <w:ind w:left="4320" w:hanging="180"/>
      </w:pPr>
      <w:rPr>
        <w:rFonts w:cs="Times New Roman"/>
      </w:rPr>
    </w:lvl>
    <w:lvl w:ilvl="6" w:tplc="0409000F" w:tentative="true">
      <w:start w:val="1"/>
      <w:numFmt w:val="decimal"/>
      <w:lvlText w:val="%7."/>
      <w:lvlJc w:val="left"/>
      <w:pPr>
        <w:tabs>
          <w:tab w:val="num" w:pos="5040"/>
        </w:tabs>
        <w:ind w:left="5040" w:hanging="360"/>
      </w:pPr>
      <w:rPr>
        <w:rFonts w:cs="Times New Roman"/>
      </w:rPr>
    </w:lvl>
    <w:lvl w:ilvl="7" w:tplc="04090019" w:tentative="true">
      <w:start w:val="1"/>
      <w:numFmt w:val="lowerLetter"/>
      <w:lvlText w:val="%8."/>
      <w:lvlJc w:val="left"/>
      <w:pPr>
        <w:tabs>
          <w:tab w:val="num" w:pos="5760"/>
        </w:tabs>
        <w:ind w:left="5760" w:hanging="360"/>
      </w:pPr>
      <w:rPr>
        <w:rFonts w:cs="Times New Roman"/>
      </w:rPr>
    </w:lvl>
    <w:lvl w:ilvl="8" w:tplc="0409001B" w:tentative="true">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true">
      <w:start w:val="1"/>
      <w:numFmt w:val="lowerLetter"/>
      <w:lvlText w:val="%2."/>
      <w:lvlJc w:val="left"/>
      <w:pPr>
        <w:ind w:left="1440" w:hanging="360"/>
      </w:pPr>
      <w:rPr>
        <w:rFonts w:cs="Times New Roman"/>
      </w:rPr>
    </w:lvl>
    <w:lvl w:ilvl="2" w:tplc="0409001B" w:tentative="true">
      <w:start w:val="1"/>
      <w:numFmt w:val="lowerRoman"/>
      <w:lvlText w:val="%3."/>
      <w:lvlJc w:val="right"/>
      <w:pPr>
        <w:ind w:left="2160" w:hanging="180"/>
      </w:pPr>
      <w:rPr>
        <w:rFonts w:cs="Times New Roman"/>
      </w:rPr>
    </w:lvl>
    <w:lvl w:ilvl="3" w:tplc="0409000F" w:tentative="true">
      <w:start w:val="1"/>
      <w:numFmt w:val="decimal"/>
      <w:lvlText w:val="%4."/>
      <w:lvlJc w:val="left"/>
      <w:pPr>
        <w:ind w:left="2880" w:hanging="360"/>
      </w:pPr>
      <w:rPr>
        <w:rFonts w:cs="Times New Roman"/>
      </w:rPr>
    </w:lvl>
    <w:lvl w:ilvl="4" w:tplc="04090019" w:tentative="true">
      <w:start w:val="1"/>
      <w:numFmt w:val="lowerLetter"/>
      <w:lvlText w:val="%5."/>
      <w:lvlJc w:val="left"/>
      <w:pPr>
        <w:ind w:left="3600" w:hanging="360"/>
      </w:pPr>
      <w:rPr>
        <w:rFonts w:cs="Times New Roman"/>
      </w:rPr>
    </w:lvl>
    <w:lvl w:ilvl="5" w:tplc="0409001B" w:tentative="true">
      <w:start w:val="1"/>
      <w:numFmt w:val="lowerRoman"/>
      <w:lvlText w:val="%6."/>
      <w:lvlJc w:val="right"/>
      <w:pPr>
        <w:ind w:left="4320" w:hanging="180"/>
      </w:pPr>
      <w:rPr>
        <w:rFonts w:cs="Times New Roman"/>
      </w:rPr>
    </w:lvl>
    <w:lvl w:ilvl="6" w:tplc="0409000F" w:tentative="true">
      <w:start w:val="1"/>
      <w:numFmt w:val="decimal"/>
      <w:lvlText w:val="%7."/>
      <w:lvlJc w:val="left"/>
      <w:pPr>
        <w:ind w:left="5040" w:hanging="360"/>
      </w:pPr>
      <w:rPr>
        <w:rFonts w:cs="Times New Roman"/>
      </w:rPr>
    </w:lvl>
    <w:lvl w:ilvl="7" w:tplc="04090019" w:tentative="true">
      <w:start w:val="1"/>
      <w:numFmt w:val="lowerLetter"/>
      <w:lvlText w:val="%8."/>
      <w:lvlJc w:val="left"/>
      <w:pPr>
        <w:ind w:left="5760" w:hanging="360"/>
      </w:pPr>
      <w:rPr>
        <w:rFonts w:cs="Times New Roman"/>
      </w:rPr>
    </w:lvl>
    <w:lvl w:ilvl="8" w:tplc="0409001B" w:tentative="true">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hint="default" w:cs="Arial"/>
      </w:r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3">
    <w:nsid w:val="414528EA"/>
    <w:multiLevelType w:val="hybridMultilevel"/>
    <w:tmpl w:val="1AE41AAE"/>
    <w:lvl w:ilvl="0" w:tplc="0409000F">
      <w:start w:val="1"/>
      <w:numFmt w:val="decimal"/>
      <w:lvlText w:val="%1."/>
      <w:lvlJc w:val="left"/>
      <w:pPr>
        <w:ind w:left="360" w:hanging="360"/>
      </w:pPr>
    </w:lvl>
    <w:lvl w:ilvl="1" w:tplc="04090019" w:tentative="true">
      <w:start w:val="1"/>
      <w:numFmt w:val="lowerLetter"/>
      <w:lvlText w:val="%2."/>
      <w:lvlJc w:val="left"/>
      <w:pPr>
        <w:ind w:left="1080" w:hanging="360"/>
      </w:pPr>
    </w:lvl>
    <w:lvl w:ilvl="2" w:tplc="0409001B" w:tentative="true">
      <w:start w:val="1"/>
      <w:numFmt w:val="lowerRoman"/>
      <w:lvlText w:val="%3."/>
      <w:lvlJc w:val="right"/>
      <w:pPr>
        <w:ind w:left="1800" w:hanging="180"/>
      </w:pPr>
    </w:lvl>
    <w:lvl w:ilvl="3" w:tplc="0409000F" w:tentative="true">
      <w:start w:val="1"/>
      <w:numFmt w:val="decimal"/>
      <w:lvlText w:val="%4."/>
      <w:lvlJc w:val="left"/>
      <w:pPr>
        <w:ind w:left="2520" w:hanging="360"/>
      </w:pPr>
    </w:lvl>
    <w:lvl w:ilvl="4" w:tplc="04090019" w:tentative="true">
      <w:start w:val="1"/>
      <w:numFmt w:val="lowerLetter"/>
      <w:lvlText w:val="%5."/>
      <w:lvlJc w:val="left"/>
      <w:pPr>
        <w:ind w:left="3240" w:hanging="360"/>
      </w:pPr>
    </w:lvl>
    <w:lvl w:ilvl="5" w:tplc="0409001B" w:tentative="true">
      <w:start w:val="1"/>
      <w:numFmt w:val="lowerRoman"/>
      <w:lvlText w:val="%6."/>
      <w:lvlJc w:val="right"/>
      <w:pPr>
        <w:ind w:left="3960" w:hanging="180"/>
      </w:pPr>
    </w:lvl>
    <w:lvl w:ilvl="6" w:tplc="0409000F" w:tentative="true">
      <w:start w:val="1"/>
      <w:numFmt w:val="decimal"/>
      <w:lvlText w:val="%7."/>
      <w:lvlJc w:val="left"/>
      <w:pPr>
        <w:ind w:left="4680" w:hanging="360"/>
      </w:pPr>
    </w:lvl>
    <w:lvl w:ilvl="7" w:tplc="04090019" w:tentative="true">
      <w:start w:val="1"/>
      <w:numFmt w:val="lowerLetter"/>
      <w:lvlText w:val="%8."/>
      <w:lvlJc w:val="left"/>
      <w:pPr>
        <w:ind w:left="5400" w:hanging="360"/>
      </w:pPr>
    </w:lvl>
    <w:lvl w:ilvl="8" w:tplc="0409001B" w:tentative="true">
      <w:start w:val="1"/>
      <w:numFmt w:val="lowerRoman"/>
      <w:lvlText w:val="%9."/>
      <w:lvlJc w:val="right"/>
      <w:pPr>
        <w:ind w:left="6120" w:hanging="180"/>
      </w:pPr>
    </w:lvl>
  </w:abstractNum>
  <w:abstractNum w:abstractNumId="14">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abstractNum w:abstractNumId="15">
    <w:nsid w:val="7CAD51AB"/>
    <w:multiLevelType w:val="hybridMultilevel"/>
    <w:tmpl w:val="242AB0BC"/>
    <w:lvl w:ilvl="0" w:tplc="0409000F">
      <w:start w:val="1"/>
      <w:numFmt w:val="decimal"/>
      <w:lvlText w:val="%1."/>
      <w:lvlJc w:val="left"/>
      <w:pPr>
        <w:tabs>
          <w:tab w:val="num" w:pos="360"/>
        </w:tabs>
        <w:ind w:left="360" w:hanging="360"/>
      </w:pPr>
      <w:rPr>
        <w:rFonts w:hint="default" w:cs="Times New Roman"/>
      </w:rPr>
    </w:lvl>
    <w:lvl w:ilvl="1" w:tplc="04090019" w:tentative="true">
      <w:start w:val="1"/>
      <w:numFmt w:val="lowerLetter"/>
      <w:lvlText w:val="%2."/>
      <w:lvlJc w:val="left"/>
      <w:pPr>
        <w:tabs>
          <w:tab w:val="num" w:pos="1080"/>
        </w:tabs>
        <w:ind w:left="1080" w:hanging="360"/>
      </w:pPr>
      <w:rPr>
        <w:rFonts w:cs="Times New Roman"/>
      </w:rPr>
    </w:lvl>
    <w:lvl w:ilvl="2" w:tplc="0409001B" w:tentative="true">
      <w:start w:val="1"/>
      <w:numFmt w:val="lowerRoman"/>
      <w:lvlText w:val="%3."/>
      <w:lvlJc w:val="right"/>
      <w:pPr>
        <w:tabs>
          <w:tab w:val="num" w:pos="1800"/>
        </w:tabs>
        <w:ind w:left="1800" w:hanging="180"/>
      </w:pPr>
      <w:rPr>
        <w:rFonts w:cs="Times New Roman"/>
      </w:rPr>
    </w:lvl>
    <w:lvl w:ilvl="3" w:tplc="0409000F" w:tentative="true">
      <w:start w:val="1"/>
      <w:numFmt w:val="decimal"/>
      <w:lvlText w:val="%4."/>
      <w:lvlJc w:val="left"/>
      <w:pPr>
        <w:tabs>
          <w:tab w:val="num" w:pos="2520"/>
        </w:tabs>
        <w:ind w:left="2520" w:hanging="360"/>
      </w:pPr>
      <w:rPr>
        <w:rFonts w:cs="Times New Roman"/>
      </w:rPr>
    </w:lvl>
    <w:lvl w:ilvl="4" w:tplc="04090019" w:tentative="true">
      <w:start w:val="1"/>
      <w:numFmt w:val="lowerLetter"/>
      <w:lvlText w:val="%5."/>
      <w:lvlJc w:val="left"/>
      <w:pPr>
        <w:tabs>
          <w:tab w:val="num" w:pos="3240"/>
        </w:tabs>
        <w:ind w:left="3240" w:hanging="360"/>
      </w:pPr>
      <w:rPr>
        <w:rFonts w:cs="Times New Roman"/>
      </w:rPr>
    </w:lvl>
    <w:lvl w:ilvl="5" w:tplc="0409001B" w:tentative="true">
      <w:start w:val="1"/>
      <w:numFmt w:val="lowerRoman"/>
      <w:lvlText w:val="%6."/>
      <w:lvlJc w:val="right"/>
      <w:pPr>
        <w:tabs>
          <w:tab w:val="num" w:pos="3960"/>
        </w:tabs>
        <w:ind w:left="3960" w:hanging="180"/>
      </w:pPr>
      <w:rPr>
        <w:rFonts w:cs="Times New Roman"/>
      </w:rPr>
    </w:lvl>
    <w:lvl w:ilvl="6" w:tplc="0409000F" w:tentative="true">
      <w:start w:val="1"/>
      <w:numFmt w:val="decimal"/>
      <w:lvlText w:val="%7."/>
      <w:lvlJc w:val="left"/>
      <w:pPr>
        <w:tabs>
          <w:tab w:val="num" w:pos="4680"/>
        </w:tabs>
        <w:ind w:left="4680" w:hanging="360"/>
      </w:pPr>
      <w:rPr>
        <w:rFonts w:cs="Times New Roman"/>
      </w:rPr>
    </w:lvl>
    <w:lvl w:ilvl="7" w:tplc="04090019" w:tentative="true">
      <w:start w:val="1"/>
      <w:numFmt w:val="lowerLetter"/>
      <w:lvlText w:val="%8."/>
      <w:lvlJc w:val="left"/>
      <w:pPr>
        <w:tabs>
          <w:tab w:val="num" w:pos="5400"/>
        </w:tabs>
        <w:ind w:left="5400" w:hanging="360"/>
      </w:pPr>
      <w:rPr>
        <w:rFonts w:cs="Times New Roman"/>
      </w:rPr>
    </w:lvl>
    <w:lvl w:ilvl="8" w:tplc="0409001B" w:tentative="true">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4"/>
  </w:num>
  <w:num w:numId="15">
    <w:abstractNumId w:val="12"/>
  </w:num>
  <w:num w:numId="16">
    <w:abstractNumId w:val="13"/>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bering>
</file>

<file path=word/settings.xml><?xml version="1.0" encoding="utf-8"?>
<w:settings xmlns:w="http://schemas.openxmlformats.org/wordprocessingml/2006/main" xmlns:w14="http://schemas.microsoft.com/office/word/2010/wordml" xmlns:r="http://schemas.openxmlformats.org/officeDocument/2006/relationships" xmlns:m="http://schemas.openxmlformats.org/officeDocument/2006/math" xmlns:w15="http://schemas.microsoft.com/office/word/2012/wordml" xmlns:ns27="http://schemas.openxmlformats.org/schemaLibrary/2006/main" xmlns:mc="http://schemas.openxmlformats.org/markup-compatibility/2006" xmlns:wp="http://schemas.openxmlformats.org/drawingml/2006/wordprocessingDrawing" xmlns:a="http://schemas.openxmlformats.org/drawingml/2006/main" mc:Ignorable=" w15">
  <w:view w:val="print"/>
  <w:zoom w:percent="100"/>
  <w:proofState w:spelling="clean" w:grammar="clean"/>
  <w:documentProtection w:edit="readOnly" w:enforcement="true" w:cryptProviderType="rsaFull" w:cryptAlgorithmClass="hash" w:cryptAlgorithmType="typeAny" w:cryptAlgorithmSid="4" w:cryptSpinCount="100000" w:hash="OW9ON25Xa0NBeUVaaWIxUm9tU0pUam1QcENZPQ==" w:salt="WlVkSGErRDhGL09BS1AzSTdzc1VuUT0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550"/>
    <w:rsid w:val="0000079C"/>
    <w:rsid w:val="00001361"/>
    <w:rsid w:val="0000225B"/>
    <w:rsid w:val="000043C4"/>
    <w:rsid w:val="00004AC8"/>
    <w:rsid w:val="00004F01"/>
    <w:rsid w:val="000116B2"/>
    <w:rsid w:val="00012AEB"/>
    <w:rsid w:val="0001306F"/>
    <w:rsid w:val="000204C7"/>
    <w:rsid w:val="00023D44"/>
    <w:rsid w:val="00024464"/>
    <w:rsid w:val="000245E3"/>
    <w:rsid w:val="00026149"/>
    <w:rsid w:val="00027899"/>
    <w:rsid w:val="00027B5A"/>
    <w:rsid w:val="0003185F"/>
    <w:rsid w:val="00031FC3"/>
    <w:rsid w:val="00032C1E"/>
    <w:rsid w:val="0003300B"/>
    <w:rsid w:val="0003459B"/>
    <w:rsid w:val="00035607"/>
    <w:rsid w:val="00035628"/>
    <w:rsid w:val="000357CA"/>
    <w:rsid w:val="00035F04"/>
    <w:rsid w:val="00036CA1"/>
    <w:rsid w:val="00043DF8"/>
    <w:rsid w:val="00044565"/>
    <w:rsid w:val="0004603E"/>
    <w:rsid w:val="000475A5"/>
    <w:rsid w:val="00047E3E"/>
    <w:rsid w:val="000518AA"/>
    <w:rsid w:val="00051ED8"/>
    <w:rsid w:val="00053E62"/>
    <w:rsid w:val="00056828"/>
    <w:rsid w:val="00057E29"/>
    <w:rsid w:val="00060CD3"/>
    <w:rsid w:val="00060CE4"/>
    <w:rsid w:val="00061845"/>
    <w:rsid w:val="00061B37"/>
    <w:rsid w:val="00061C6C"/>
    <w:rsid w:val="000620FD"/>
    <w:rsid w:val="000634B1"/>
    <w:rsid w:val="000661A8"/>
    <w:rsid w:val="000670CF"/>
    <w:rsid w:val="0006773B"/>
    <w:rsid w:val="00067FB3"/>
    <w:rsid w:val="00067FD4"/>
    <w:rsid w:val="00072192"/>
    <w:rsid w:val="00072C8A"/>
    <w:rsid w:val="00072E1F"/>
    <w:rsid w:val="00073F08"/>
    <w:rsid w:val="00075389"/>
    <w:rsid w:val="00076459"/>
    <w:rsid w:val="0007671E"/>
    <w:rsid w:val="00076C5D"/>
    <w:rsid w:val="0007735F"/>
    <w:rsid w:val="000803B0"/>
    <w:rsid w:val="00080977"/>
    <w:rsid w:val="00080ECB"/>
    <w:rsid w:val="00081136"/>
    <w:rsid w:val="000825DF"/>
    <w:rsid w:val="000831B8"/>
    <w:rsid w:val="00083B49"/>
    <w:rsid w:val="0008531E"/>
    <w:rsid w:val="00085ECE"/>
    <w:rsid w:val="0008764E"/>
    <w:rsid w:val="00087BEC"/>
    <w:rsid w:val="000906C3"/>
    <w:rsid w:val="00090BC2"/>
    <w:rsid w:val="00091139"/>
    <w:rsid w:val="000912C9"/>
    <w:rsid w:val="000916BB"/>
    <w:rsid w:val="00091F70"/>
    <w:rsid w:val="0009419B"/>
    <w:rsid w:val="000942E0"/>
    <w:rsid w:val="00096632"/>
    <w:rsid w:val="00096BAB"/>
    <w:rsid w:val="00096FE3"/>
    <w:rsid w:val="000A0B94"/>
    <w:rsid w:val="000A32D4"/>
    <w:rsid w:val="000A3328"/>
    <w:rsid w:val="000A3869"/>
    <w:rsid w:val="000A3AF5"/>
    <w:rsid w:val="000A3CA8"/>
    <w:rsid w:val="000A41A8"/>
    <w:rsid w:val="000A554B"/>
    <w:rsid w:val="000A6604"/>
    <w:rsid w:val="000A7C39"/>
    <w:rsid w:val="000A7EB6"/>
    <w:rsid w:val="000B3461"/>
    <w:rsid w:val="000B45BD"/>
    <w:rsid w:val="000B5D24"/>
    <w:rsid w:val="000B7A3C"/>
    <w:rsid w:val="000B7A4F"/>
    <w:rsid w:val="000C0482"/>
    <w:rsid w:val="000C0752"/>
    <w:rsid w:val="000C0905"/>
    <w:rsid w:val="000C1C34"/>
    <w:rsid w:val="000C20FC"/>
    <w:rsid w:val="000C265E"/>
    <w:rsid w:val="000C3ACA"/>
    <w:rsid w:val="000C50CD"/>
    <w:rsid w:val="000C57EA"/>
    <w:rsid w:val="000C666E"/>
    <w:rsid w:val="000D0182"/>
    <w:rsid w:val="000D5D0C"/>
    <w:rsid w:val="000D6717"/>
    <w:rsid w:val="000D7213"/>
    <w:rsid w:val="000D734A"/>
    <w:rsid w:val="000E1DFB"/>
    <w:rsid w:val="000E1F9B"/>
    <w:rsid w:val="000E2623"/>
    <w:rsid w:val="000E5032"/>
    <w:rsid w:val="000E5FBD"/>
    <w:rsid w:val="000E6121"/>
    <w:rsid w:val="000E640E"/>
    <w:rsid w:val="000E6A98"/>
    <w:rsid w:val="000E6B9A"/>
    <w:rsid w:val="000E6CB6"/>
    <w:rsid w:val="000E7804"/>
    <w:rsid w:val="000F04AF"/>
    <w:rsid w:val="000F0532"/>
    <w:rsid w:val="000F0B7B"/>
    <w:rsid w:val="000F1FC7"/>
    <w:rsid w:val="000F79C7"/>
    <w:rsid w:val="00101E3D"/>
    <w:rsid w:val="00102442"/>
    <w:rsid w:val="00103D79"/>
    <w:rsid w:val="001062D4"/>
    <w:rsid w:val="00106EFD"/>
    <w:rsid w:val="001105E4"/>
    <w:rsid w:val="0011076C"/>
    <w:rsid w:val="00110971"/>
    <w:rsid w:val="00110B76"/>
    <w:rsid w:val="00111C8B"/>
    <w:rsid w:val="00112002"/>
    <w:rsid w:val="00112F30"/>
    <w:rsid w:val="001136B9"/>
    <w:rsid w:val="00114CA6"/>
    <w:rsid w:val="00115066"/>
    <w:rsid w:val="001162C9"/>
    <w:rsid w:val="00117CAF"/>
    <w:rsid w:val="00123B67"/>
    <w:rsid w:val="001248C2"/>
    <w:rsid w:val="00125428"/>
    <w:rsid w:val="0012585F"/>
    <w:rsid w:val="00125FCA"/>
    <w:rsid w:val="00126214"/>
    <w:rsid w:val="00131C37"/>
    <w:rsid w:val="00132B14"/>
    <w:rsid w:val="00132CEA"/>
    <w:rsid w:val="001338F6"/>
    <w:rsid w:val="0013404D"/>
    <w:rsid w:val="0013483F"/>
    <w:rsid w:val="00134B79"/>
    <w:rsid w:val="00135B76"/>
    <w:rsid w:val="00135EA7"/>
    <w:rsid w:val="0013605A"/>
    <w:rsid w:val="00141F8B"/>
    <w:rsid w:val="0014372F"/>
    <w:rsid w:val="0014489D"/>
    <w:rsid w:val="0014557A"/>
    <w:rsid w:val="001460FB"/>
    <w:rsid w:val="001475CB"/>
    <w:rsid w:val="00150B00"/>
    <w:rsid w:val="00155A76"/>
    <w:rsid w:val="00155AE0"/>
    <w:rsid w:val="00156045"/>
    <w:rsid w:val="00156205"/>
    <w:rsid w:val="00157002"/>
    <w:rsid w:val="0016089C"/>
    <w:rsid w:val="00160AC1"/>
    <w:rsid w:val="00161DF7"/>
    <w:rsid w:val="0016267E"/>
    <w:rsid w:val="0016294A"/>
    <w:rsid w:val="00162A99"/>
    <w:rsid w:val="00163BA8"/>
    <w:rsid w:val="00164969"/>
    <w:rsid w:val="00165B3F"/>
    <w:rsid w:val="001664F7"/>
    <w:rsid w:val="001668F1"/>
    <w:rsid w:val="001703C2"/>
    <w:rsid w:val="001728FD"/>
    <w:rsid w:val="00172D3C"/>
    <w:rsid w:val="00174EFD"/>
    <w:rsid w:val="00175A92"/>
    <w:rsid w:val="001763BE"/>
    <w:rsid w:val="00176F2C"/>
    <w:rsid w:val="0017732A"/>
    <w:rsid w:val="00177A19"/>
    <w:rsid w:val="00177DEF"/>
    <w:rsid w:val="00180753"/>
    <w:rsid w:val="00184182"/>
    <w:rsid w:val="00184CFB"/>
    <w:rsid w:val="00190078"/>
    <w:rsid w:val="00193AF0"/>
    <w:rsid w:val="0019465C"/>
    <w:rsid w:val="00194CDA"/>
    <w:rsid w:val="00196757"/>
    <w:rsid w:val="00197A7A"/>
    <w:rsid w:val="001A0074"/>
    <w:rsid w:val="001A0F7B"/>
    <w:rsid w:val="001A1131"/>
    <w:rsid w:val="001A53F5"/>
    <w:rsid w:val="001A6644"/>
    <w:rsid w:val="001A6827"/>
    <w:rsid w:val="001A6828"/>
    <w:rsid w:val="001A6F81"/>
    <w:rsid w:val="001A7BCC"/>
    <w:rsid w:val="001A7F28"/>
    <w:rsid w:val="001B0567"/>
    <w:rsid w:val="001B165C"/>
    <w:rsid w:val="001B5310"/>
    <w:rsid w:val="001B5AF8"/>
    <w:rsid w:val="001B6520"/>
    <w:rsid w:val="001B6936"/>
    <w:rsid w:val="001B6990"/>
    <w:rsid w:val="001B6B2A"/>
    <w:rsid w:val="001B75E2"/>
    <w:rsid w:val="001B7DB9"/>
    <w:rsid w:val="001C0436"/>
    <w:rsid w:val="001C271B"/>
    <w:rsid w:val="001C3C19"/>
    <w:rsid w:val="001C4867"/>
    <w:rsid w:val="001C516A"/>
    <w:rsid w:val="001C61C3"/>
    <w:rsid w:val="001C7A55"/>
    <w:rsid w:val="001D0384"/>
    <w:rsid w:val="001D2011"/>
    <w:rsid w:val="001D20E3"/>
    <w:rsid w:val="001D285F"/>
    <w:rsid w:val="001D2925"/>
    <w:rsid w:val="001D3E45"/>
    <w:rsid w:val="001D5457"/>
    <w:rsid w:val="001D6ECF"/>
    <w:rsid w:val="001D78ED"/>
    <w:rsid w:val="001E0FBB"/>
    <w:rsid w:val="001E1072"/>
    <w:rsid w:val="001E3EA8"/>
    <w:rsid w:val="001E40BC"/>
    <w:rsid w:val="001E45BD"/>
    <w:rsid w:val="001E4FF9"/>
    <w:rsid w:val="001E5D7F"/>
    <w:rsid w:val="001E5F46"/>
    <w:rsid w:val="001E6702"/>
    <w:rsid w:val="001E763D"/>
    <w:rsid w:val="001E7D42"/>
    <w:rsid w:val="001F12C7"/>
    <w:rsid w:val="001F18AC"/>
    <w:rsid w:val="001F1BE7"/>
    <w:rsid w:val="001F3C7D"/>
    <w:rsid w:val="001F5909"/>
    <w:rsid w:val="001F5DE5"/>
    <w:rsid w:val="001F6123"/>
    <w:rsid w:val="001F68DE"/>
    <w:rsid w:val="00202AD9"/>
    <w:rsid w:val="00205644"/>
    <w:rsid w:val="00205C2F"/>
    <w:rsid w:val="00205CCE"/>
    <w:rsid w:val="00206F32"/>
    <w:rsid w:val="00212E96"/>
    <w:rsid w:val="002137A1"/>
    <w:rsid w:val="00214170"/>
    <w:rsid w:val="00217B66"/>
    <w:rsid w:val="0022066D"/>
    <w:rsid w:val="00221262"/>
    <w:rsid w:val="002212E0"/>
    <w:rsid w:val="00221D81"/>
    <w:rsid w:val="00223C84"/>
    <w:rsid w:val="00224741"/>
    <w:rsid w:val="00224CD2"/>
    <w:rsid w:val="00224EEE"/>
    <w:rsid w:val="00226B56"/>
    <w:rsid w:val="00226B59"/>
    <w:rsid w:val="002323D0"/>
    <w:rsid w:val="0023315D"/>
    <w:rsid w:val="00233524"/>
    <w:rsid w:val="00233956"/>
    <w:rsid w:val="00234115"/>
    <w:rsid w:val="002346CD"/>
    <w:rsid w:val="00235072"/>
    <w:rsid w:val="00235DD9"/>
    <w:rsid w:val="00236F35"/>
    <w:rsid w:val="00236F9D"/>
    <w:rsid w:val="00240AEF"/>
    <w:rsid w:val="0024397D"/>
    <w:rsid w:val="00243CAA"/>
    <w:rsid w:val="00245646"/>
    <w:rsid w:val="00246AA2"/>
    <w:rsid w:val="00247E65"/>
    <w:rsid w:val="00251092"/>
    <w:rsid w:val="00254774"/>
    <w:rsid w:val="0025577D"/>
    <w:rsid w:val="00255A4D"/>
    <w:rsid w:val="00255CB4"/>
    <w:rsid w:val="00256481"/>
    <w:rsid w:val="0025735F"/>
    <w:rsid w:val="00260978"/>
    <w:rsid w:val="00263CA8"/>
    <w:rsid w:val="00263E78"/>
    <w:rsid w:val="002643F3"/>
    <w:rsid w:val="0026448F"/>
    <w:rsid w:val="00264AA8"/>
    <w:rsid w:val="00264D83"/>
    <w:rsid w:val="002660BC"/>
    <w:rsid w:val="002668A1"/>
    <w:rsid w:val="00267FE2"/>
    <w:rsid w:val="002707F7"/>
    <w:rsid w:val="00270B46"/>
    <w:rsid w:val="002717B0"/>
    <w:rsid w:val="002721FA"/>
    <w:rsid w:val="00272284"/>
    <w:rsid w:val="00272E1D"/>
    <w:rsid w:val="00275F5E"/>
    <w:rsid w:val="00277A52"/>
    <w:rsid w:val="00284256"/>
    <w:rsid w:val="00284E5C"/>
    <w:rsid w:val="002867C7"/>
    <w:rsid w:val="00290E09"/>
    <w:rsid w:val="002931ED"/>
    <w:rsid w:val="00293EC8"/>
    <w:rsid w:val="00294383"/>
    <w:rsid w:val="00294B1B"/>
    <w:rsid w:val="00294CA9"/>
    <w:rsid w:val="00295998"/>
    <w:rsid w:val="00296E8B"/>
    <w:rsid w:val="002A2068"/>
    <w:rsid w:val="002A206F"/>
    <w:rsid w:val="002A22BC"/>
    <w:rsid w:val="002A2980"/>
    <w:rsid w:val="002A3878"/>
    <w:rsid w:val="002A4896"/>
    <w:rsid w:val="002A49B8"/>
    <w:rsid w:val="002A4E8C"/>
    <w:rsid w:val="002A57D8"/>
    <w:rsid w:val="002A5D07"/>
    <w:rsid w:val="002A5DBC"/>
    <w:rsid w:val="002A6136"/>
    <w:rsid w:val="002A7675"/>
    <w:rsid w:val="002B3F22"/>
    <w:rsid w:val="002B5E03"/>
    <w:rsid w:val="002B601A"/>
    <w:rsid w:val="002B625F"/>
    <w:rsid w:val="002B7BD1"/>
    <w:rsid w:val="002C155C"/>
    <w:rsid w:val="002C3395"/>
    <w:rsid w:val="002C35A0"/>
    <w:rsid w:val="002C3E9C"/>
    <w:rsid w:val="002C44B2"/>
    <w:rsid w:val="002C4862"/>
    <w:rsid w:val="002C5303"/>
    <w:rsid w:val="002C547E"/>
    <w:rsid w:val="002C5F73"/>
    <w:rsid w:val="002C68A7"/>
    <w:rsid w:val="002D1B12"/>
    <w:rsid w:val="002D1EA4"/>
    <w:rsid w:val="002D1FCA"/>
    <w:rsid w:val="002D34A9"/>
    <w:rsid w:val="002D478C"/>
    <w:rsid w:val="002D7D0F"/>
    <w:rsid w:val="002E35A6"/>
    <w:rsid w:val="002E65ED"/>
    <w:rsid w:val="002E675D"/>
    <w:rsid w:val="002E7287"/>
    <w:rsid w:val="002F0A58"/>
    <w:rsid w:val="002F24C7"/>
    <w:rsid w:val="002F3075"/>
    <w:rsid w:val="002F3B35"/>
    <w:rsid w:val="002F4183"/>
    <w:rsid w:val="002F5987"/>
    <w:rsid w:val="002F5D01"/>
    <w:rsid w:val="002F7A63"/>
    <w:rsid w:val="0030038D"/>
    <w:rsid w:val="00300BAE"/>
    <w:rsid w:val="00302737"/>
    <w:rsid w:val="00304450"/>
    <w:rsid w:val="003045F6"/>
    <w:rsid w:val="003056D6"/>
    <w:rsid w:val="00306E0A"/>
    <w:rsid w:val="00314B0B"/>
    <w:rsid w:val="00316631"/>
    <w:rsid w:val="00316EE5"/>
    <w:rsid w:val="003173DC"/>
    <w:rsid w:val="003173F8"/>
    <w:rsid w:val="00321093"/>
    <w:rsid w:val="0032440F"/>
    <w:rsid w:val="0032477D"/>
    <w:rsid w:val="003262D2"/>
    <w:rsid w:val="0032731B"/>
    <w:rsid w:val="00327499"/>
    <w:rsid w:val="00327DDD"/>
    <w:rsid w:val="0033195A"/>
    <w:rsid w:val="00332A82"/>
    <w:rsid w:val="00332B85"/>
    <w:rsid w:val="00333971"/>
    <w:rsid w:val="003343A2"/>
    <w:rsid w:val="00340D9C"/>
    <w:rsid w:val="0034130D"/>
    <w:rsid w:val="0034477A"/>
    <w:rsid w:val="00344D60"/>
    <w:rsid w:val="00346C40"/>
    <w:rsid w:val="003504FE"/>
    <w:rsid w:val="00351CEF"/>
    <w:rsid w:val="003521B8"/>
    <w:rsid w:val="00352316"/>
    <w:rsid w:val="0035316E"/>
    <w:rsid w:val="00354514"/>
    <w:rsid w:val="00354D12"/>
    <w:rsid w:val="003550DA"/>
    <w:rsid w:val="003558E7"/>
    <w:rsid w:val="00357C5C"/>
    <w:rsid w:val="003601E8"/>
    <w:rsid w:val="00361146"/>
    <w:rsid w:val="00361CC3"/>
    <w:rsid w:val="003622B9"/>
    <w:rsid w:val="0036281D"/>
    <w:rsid w:val="003629F5"/>
    <w:rsid w:val="00365CE8"/>
    <w:rsid w:val="0036684C"/>
    <w:rsid w:val="003700B8"/>
    <w:rsid w:val="0037146A"/>
    <w:rsid w:val="00371AE2"/>
    <w:rsid w:val="00373576"/>
    <w:rsid w:val="00375820"/>
    <w:rsid w:val="00375A6B"/>
    <w:rsid w:val="003769A0"/>
    <w:rsid w:val="00380C4B"/>
    <w:rsid w:val="003813BF"/>
    <w:rsid w:val="003814EF"/>
    <w:rsid w:val="00383267"/>
    <w:rsid w:val="00383DA8"/>
    <w:rsid w:val="00384469"/>
    <w:rsid w:val="0039057C"/>
    <w:rsid w:val="00393270"/>
    <w:rsid w:val="00393D1A"/>
    <w:rsid w:val="00394DF1"/>
    <w:rsid w:val="00394F4A"/>
    <w:rsid w:val="003974F9"/>
    <w:rsid w:val="003A05C5"/>
    <w:rsid w:val="003A13CA"/>
    <w:rsid w:val="003A231A"/>
    <w:rsid w:val="003A3022"/>
    <w:rsid w:val="003A35A7"/>
    <w:rsid w:val="003A3BED"/>
    <w:rsid w:val="003A3DFE"/>
    <w:rsid w:val="003A683D"/>
    <w:rsid w:val="003A7DA4"/>
    <w:rsid w:val="003B2D3A"/>
    <w:rsid w:val="003B441D"/>
    <w:rsid w:val="003B47FF"/>
    <w:rsid w:val="003B5D48"/>
    <w:rsid w:val="003B66A4"/>
    <w:rsid w:val="003C0FDC"/>
    <w:rsid w:val="003C1628"/>
    <w:rsid w:val="003C1968"/>
    <w:rsid w:val="003D0515"/>
    <w:rsid w:val="003D20C4"/>
    <w:rsid w:val="003D2D3C"/>
    <w:rsid w:val="003D45C0"/>
    <w:rsid w:val="003D6CD4"/>
    <w:rsid w:val="003D6FCF"/>
    <w:rsid w:val="003D72A1"/>
    <w:rsid w:val="003E22CB"/>
    <w:rsid w:val="003E258F"/>
    <w:rsid w:val="003E284D"/>
    <w:rsid w:val="003E3F93"/>
    <w:rsid w:val="003E4568"/>
    <w:rsid w:val="003E4FF9"/>
    <w:rsid w:val="003E7057"/>
    <w:rsid w:val="003F38FB"/>
    <w:rsid w:val="003F5F7A"/>
    <w:rsid w:val="004000E2"/>
    <w:rsid w:val="00400274"/>
    <w:rsid w:val="00400B9A"/>
    <w:rsid w:val="00403D51"/>
    <w:rsid w:val="00411BA3"/>
    <w:rsid w:val="00411F37"/>
    <w:rsid w:val="00413518"/>
    <w:rsid w:val="00415BA6"/>
    <w:rsid w:val="00416FB6"/>
    <w:rsid w:val="00417A3C"/>
    <w:rsid w:val="004216FD"/>
    <w:rsid w:val="00423F3B"/>
    <w:rsid w:val="00425815"/>
    <w:rsid w:val="00432796"/>
    <w:rsid w:val="00432EB4"/>
    <w:rsid w:val="00434057"/>
    <w:rsid w:val="0043460A"/>
    <w:rsid w:val="0044241B"/>
    <w:rsid w:val="00443A29"/>
    <w:rsid w:val="004441CA"/>
    <w:rsid w:val="004448CA"/>
    <w:rsid w:val="00444933"/>
    <w:rsid w:val="004453CC"/>
    <w:rsid w:val="004468BC"/>
    <w:rsid w:val="00447517"/>
    <w:rsid w:val="0045009F"/>
    <w:rsid w:val="00450760"/>
    <w:rsid w:val="00451B1C"/>
    <w:rsid w:val="00453780"/>
    <w:rsid w:val="0045398A"/>
    <w:rsid w:val="00453A5D"/>
    <w:rsid w:val="00455495"/>
    <w:rsid w:val="00455F04"/>
    <w:rsid w:val="004560ED"/>
    <w:rsid w:val="004618A9"/>
    <w:rsid w:val="004628D1"/>
    <w:rsid w:val="0046519F"/>
    <w:rsid w:val="004657FC"/>
    <w:rsid w:val="0046678C"/>
    <w:rsid w:val="004702B9"/>
    <w:rsid w:val="00470BB5"/>
    <w:rsid w:val="004713D1"/>
    <w:rsid w:val="004718FE"/>
    <w:rsid w:val="00474809"/>
    <w:rsid w:val="0047498F"/>
    <w:rsid w:val="00474C83"/>
    <w:rsid w:val="00474D62"/>
    <w:rsid w:val="0047694E"/>
    <w:rsid w:val="0048057D"/>
    <w:rsid w:val="004807B9"/>
    <w:rsid w:val="004829FE"/>
    <w:rsid w:val="0048572B"/>
    <w:rsid w:val="00487807"/>
    <w:rsid w:val="00490153"/>
    <w:rsid w:val="00490E8F"/>
    <w:rsid w:val="00492522"/>
    <w:rsid w:val="00494561"/>
    <w:rsid w:val="004A1D57"/>
    <w:rsid w:val="004A2076"/>
    <w:rsid w:val="004A2462"/>
    <w:rsid w:val="004A2A46"/>
    <w:rsid w:val="004A2E01"/>
    <w:rsid w:val="004A5050"/>
    <w:rsid w:val="004A7384"/>
    <w:rsid w:val="004B2719"/>
    <w:rsid w:val="004B35BC"/>
    <w:rsid w:val="004B3E8D"/>
    <w:rsid w:val="004B50AE"/>
    <w:rsid w:val="004B5288"/>
    <w:rsid w:val="004B5691"/>
    <w:rsid w:val="004B7342"/>
    <w:rsid w:val="004B7869"/>
    <w:rsid w:val="004B7BD0"/>
    <w:rsid w:val="004C0183"/>
    <w:rsid w:val="004C0761"/>
    <w:rsid w:val="004C1DB6"/>
    <w:rsid w:val="004C280F"/>
    <w:rsid w:val="004C337F"/>
    <w:rsid w:val="004C4853"/>
    <w:rsid w:val="004C554B"/>
    <w:rsid w:val="004C753E"/>
    <w:rsid w:val="004C7652"/>
    <w:rsid w:val="004C7E89"/>
    <w:rsid w:val="004D1847"/>
    <w:rsid w:val="004D2EF4"/>
    <w:rsid w:val="004D3AE0"/>
    <w:rsid w:val="004D4783"/>
    <w:rsid w:val="004D5993"/>
    <w:rsid w:val="004D77EA"/>
    <w:rsid w:val="004E06E9"/>
    <w:rsid w:val="004E2C11"/>
    <w:rsid w:val="004E3D2D"/>
    <w:rsid w:val="004E6FFF"/>
    <w:rsid w:val="004F07E5"/>
    <w:rsid w:val="004F0D4F"/>
    <w:rsid w:val="004F0F57"/>
    <w:rsid w:val="004F2470"/>
    <w:rsid w:val="004F38B8"/>
    <w:rsid w:val="004F3C75"/>
    <w:rsid w:val="004F7A38"/>
    <w:rsid w:val="00503EE0"/>
    <w:rsid w:val="00504A77"/>
    <w:rsid w:val="00504D2F"/>
    <w:rsid w:val="00504EE0"/>
    <w:rsid w:val="00505B84"/>
    <w:rsid w:val="005113F5"/>
    <w:rsid w:val="00511841"/>
    <w:rsid w:val="00512BFD"/>
    <w:rsid w:val="00512ED8"/>
    <w:rsid w:val="00512F63"/>
    <w:rsid w:val="005149D1"/>
    <w:rsid w:val="0051545A"/>
    <w:rsid w:val="00515ECB"/>
    <w:rsid w:val="0051697E"/>
    <w:rsid w:val="00520331"/>
    <w:rsid w:val="00520641"/>
    <w:rsid w:val="00521B6A"/>
    <w:rsid w:val="0052234D"/>
    <w:rsid w:val="00523217"/>
    <w:rsid w:val="00524FC6"/>
    <w:rsid w:val="005279D1"/>
    <w:rsid w:val="00530783"/>
    <w:rsid w:val="00536B89"/>
    <w:rsid w:val="00536CE1"/>
    <w:rsid w:val="00537446"/>
    <w:rsid w:val="005401AF"/>
    <w:rsid w:val="00540586"/>
    <w:rsid w:val="00541D88"/>
    <w:rsid w:val="00542805"/>
    <w:rsid w:val="00542DD1"/>
    <w:rsid w:val="00542E35"/>
    <w:rsid w:val="005438C6"/>
    <w:rsid w:val="00552158"/>
    <w:rsid w:val="005535E3"/>
    <w:rsid w:val="005546C9"/>
    <w:rsid w:val="00554930"/>
    <w:rsid w:val="00554D8C"/>
    <w:rsid w:val="005566BD"/>
    <w:rsid w:val="00556A53"/>
    <w:rsid w:val="005607C4"/>
    <w:rsid w:val="005607F7"/>
    <w:rsid w:val="00560DD5"/>
    <w:rsid w:val="005640FE"/>
    <w:rsid w:val="0056434A"/>
    <w:rsid w:val="0056695E"/>
    <w:rsid w:val="00566AD6"/>
    <w:rsid w:val="00571758"/>
    <w:rsid w:val="00571DC6"/>
    <w:rsid w:val="00571F71"/>
    <w:rsid w:val="005720BF"/>
    <w:rsid w:val="00572D8A"/>
    <w:rsid w:val="00572E71"/>
    <w:rsid w:val="00575829"/>
    <w:rsid w:val="0057595D"/>
    <w:rsid w:val="00575D21"/>
    <w:rsid w:val="00577A52"/>
    <w:rsid w:val="005803CD"/>
    <w:rsid w:val="005816FC"/>
    <w:rsid w:val="00581869"/>
    <w:rsid w:val="0058430F"/>
    <w:rsid w:val="00584916"/>
    <w:rsid w:val="00584C2C"/>
    <w:rsid w:val="00585FC7"/>
    <w:rsid w:val="00586324"/>
    <w:rsid w:val="005902D2"/>
    <w:rsid w:val="005913A4"/>
    <w:rsid w:val="0059175D"/>
    <w:rsid w:val="005943CB"/>
    <w:rsid w:val="00594D9A"/>
    <w:rsid w:val="00597F2A"/>
    <w:rsid w:val="005A031D"/>
    <w:rsid w:val="005A06D4"/>
    <w:rsid w:val="005A0870"/>
    <w:rsid w:val="005A28F5"/>
    <w:rsid w:val="005A384F"/>
    <w:rsid w:val="005A38E5"/>
    <w:rsid w:val="005A413F"/>
    <w:rsid w:val="005A4CE7"/>
    <w:rsid w:val="005A4EE7"/>
    <w:rsid w:val="005A56A4"/>
    <w:rsid w:val="005A6341"/>
    <w:rsid w:val="005A6511"/>
    <w:rsid w:val="005A7B5B"/>
    <w:rsid w:val="005B1C08"/>
    <w:rsid w:val="005B1C1A"/>
    <w:rsid w:val="005B27DA"/>
    <w:rsid w:val="005B2D2F"/>
    <w:rsid w:val="005B3518"/>
    <w:rsid w:val="005B41CA"/>
    <w:rsid w:val="005B7D2A"/>
    <w:rsid w:val="005C0C0A"/>
    <w:rsid w:val="005C19F7"/>
    <w:rsid w:val="005C1A32"/>
    <w:rsid w:val="005C2AC9"/>
    <w:rsid w:val="005C2AD9"/>
    <w:rsid w:val="005D0D3F"/>
    <w:rsid w:val="005D112C"/>
    <w:rsid w:val="005D1834"/>
    <w:rsid w:val="005D28B7"/>
    <w:rsid w:val="005D3A3B"/>
    <w:rsid w:val="005D57FC"/>
    <w:rsid w:val="005D6D7E"/>
    <w:rsid w:val="005E19AA"/>
    <w:rsid w:val="005E3EC4"/>
    <w:rsid w:val="005E478F"/>
    <w:rsid w:val="005E5820"/>
    <w:rsid w:val="005E624A"/>
    <w:rsid w:val="005E669F"/>
    <w:rsid w:val="005E689B"/>
    <w:rsid w:val="005E68A8"/>
    <w:rsid w:val="005E6E47"/>
    <w:rsid w:val="005F174E"/>
    <w:rsid w:val="005F324E"/>
    <w:rsid w:val="005F3836"/>
    <w:rsid w:val="005F4B6C"/>
    <w:rsid w:val="005F4E97"/>
    <w:rsid w:val="005F69CC"/>
    <w:rsid w:val="005F6F31"/>
    <w:rsid w:val="005F7C9B"/>
    <w:rsid w:val="005F7D60"/>
    <w:rsid w:val="00600688"/>
    <w:rsid w:val="0060180B"/>
    <w:rsid w:val="00603D0C"/>
    <w:rsid w:val="00604622"/>
    <w:rsid w:val="006053DE"/>
    <w:rsid w:val="00611099"/>
    <w:rsid w:val="006113C3"/>
    <w:rsid w:val="00611B7D"/>
    <w:rsid w:val="0061238E"/>
    <w:rsid w:val="00612D8D"/>
    <w:rsid w:val="00614060"/>
    <w:rsid w:val="00614481"/>
    <w:rsid w:val="006151EC"/>
    <w:rsid w:val="00616684"/>
    <w:rsid w:val="00617974"/>
    <w:rsid w:val="00620042"/>
    <w:rsid w:val="006201FF"/>
    <w:rsid w:val="006211BC"/>
    <w:rsid w:val="0062186C"/>
    <w:rsid w:val="00621B6A"/>
    <w:rsid w:val="006222B0"/>
    <w:rsid w:val="00622F64"/>
    <w:rsid w:val="00623897"/>
    <w:rsid w:val="00626214"/>
    <w:rsid w:val="00626273"/>
    <w:rsid w:val="00626E96"/>
    <w:rsid w:val="006278C0"/>
    <w:rsid w:val="006308DE"/>
    <w:rsid w:val="00631E30"/>
    <w:rsid w:val="00632401"/>
    <w:rsid w:val="00633253"/>
    <w:rsid w:val="006343B2"/>
    <w:rsid w:val="00634978"/>
    <w:rsid w:val="00634F83"/>
    <w:rsid w:val="00637636"/>
    <w:rsid w:val="00640563"/>
    <w:rsid w:val="0064120D"/>
    <w:rsid w:val="0064190F"/>
    <w:rsid w:val="006434CD"/>
    <w:rsid w:val="006449FF"/>
    <w:rsid w:val="00644A8B"/>
    <w:rsid w:val="00645293"/>
    <w:rsid w:val="00647D86"/>
    <w:rsid w:val="00652006"/>
    <w:rsid w:val="0065246C"/>
    <w:rsid w:val="0065549B"/>
    <w:rsid w:val="00660C80"/>
    <w:rsid w:val="00664171"/>
    <w:rsid w:val="006651FC"/>
    <w:rsid w:val="00665241"/>
    <w:rsid w:val="00665277"/>
    <w:rsid w:val="00665583"/>
    <w:rsid w:val="006655A4"/>
    <w:rsid w:val="006658A8"/>
    <w:rsid w:val="006664DF"/>
    <w:rsid w:val="00670714"/>
    <w:rsid w:val="00671C60"/>
    <w:rsid w:val="00672DD1"/>
    <w:rsid w:val="00672E7A"/>
    <w:rsid w:val="00673DC6"/>
    <w:rsid w:val="00674C23"/>
    <w:rsid w:val="00677021"/>
    <w:rsid w:val="00677C85"/>
    <w:rsid w:val="00680AF7"/>
    <w:rsid w:val="00681CD4"/>
    <w:rsid w:val="006841DF"/>
    <w:rsid w:val="00685714"/>
    <w:rsid w:val="00685DE2"/>
    <w:rsid w:val="00686749"/>
    <w:rsid w:val="00686948"/>
    <w:rsid w:val="00690F4C"/>
    <w:rsid w:val="00691CC4"/>
    <w:rsid w:val="0069273F"/>
    <w:rsid w:val="006950B9"/>
    <w:rsid w:val="00695965"/>
    <w:rsid w:val="006960B5"/>
    <w:rsid w:val="006A12F9"/>
    <w:rsid w:val="006A1B7A"/>
    <w:rsid w:val="006A1B9F"/>
    <w:rsid w:val="006A306E"/>
    <w:rsid w:val="006A3251"/>
    <w:rsid w:val="006A5CF6"/>
    <w:rsid w:val="006A7B8B"/>
    <w:rsid w:val="006B04CE"/>
    <w:rsid w:val="006B3540"/>
    <w:rsid w:val="006B42E4"/>
    <w:rsid w:val="006B4894"/>
    <w:rsid w:val="006B4955"/>
    <w:rsid w:val="006B4C68"/>
    <w:rsid w:val="006B5988"/>
    <w:rsid w:val="006B7EAA"/>
    <w:rsid w:val="006C1C1B"/>
    <w:rsid w:val="006C21E7"/>
    <w:rsid w:val="006C3518"/>
    <w:rsid w:val="006C3FD7"/>
    <w:rsid w:val="006C44E9"/>
    <w:rsid w:val="006C4C77"/>
    <w:rsid w:val="006D34BA"/>
    <w:rsid w:val="006D3D90"/>
    <w:rsid w:val="006D3FDB"/>
    <w:rsid w:val="006D571A"/>
    <w:rsid w:val="006D658C"/>
    <w:rsid w:val="006D6906"/>
    <w:rsid w:val="006E0C5F"/>
    <w:rsid w:val="006E1389"/>
    <w:rsid w:val="006E2047"/>
    <w:rsid w:val="006E282A"/>
    <w:rsid w:val="006E3482"/>
    <w:rsid w:val="006E4DEC"/>
    <w:rsid w:val="006E5052"/>
    <w:rsid w:val="006E513B"/>
    <w:rsid w:val="006E59B8"/>
    <w:rsid w:val="006E5F96"/>
    <w:rsid w:val="006F0A51"/>
    <w:rsid w:val="006F3358"/>
    <w:rsid w:val="006F71B9"/>
    <w:rsid w:val="006F746C"/>
    <w:rsid w:val="006F7A4C"/>
    <w:rsid w:val="006F7BFD"/>
    <w:rsid w:val="00702BAF"/>
    <w:rsid w:val="00703551"/>
    <w:rsid w:val="0070546E"/>
    <w:rsid w:val="00706058"/>
    <w:rsid w:val="00706C26"/>
    <w:rsid w:val="0071070B"/>
    <w:rsid w:val="007124E0"/>
    <w:rsid w:val="00712678"/>
    <w:rsid w:val="00713D4D"/>
    <w:rsid w:val="007144DD"/>
    <w:rsid w:val="00715B36"/>
    <w:rsid w:val="007172F1"/>
    <w:rsid w:val="00720EDD"/>
    <w:rsid w:val="00721F36"/>
    <w:rsid w:val="00722B5D"/>
    <w:rsid w:val="007250CB"/>
    <w:rsid w:val="00725EA1"/>
    <w:rsid w:val="00727740"/>
    <w:rsid w:val="00731B72"/>
    <w:rsid w:val="00733EE7"/>
    <w:rsid w:val="0073427D"/>
    <w:rsid w:val="00736F43"/>
    <w:rsid w:val="0073788C"/>
    <w:rsid w:val="00740AAD"/>
    <w:rsid w:val="00740AD4"/>
    <w:rsid w:val="007412C3"/>
    <w:rsid w:val="0074344B"/>
    <w:rsid w:val="00743693"/>
    <w:rsid w:val="00743949"/>
    <w:rsid w:val="00745E9A"/>
    <w:rsid w:val="00747FBD"/>
    <w:rsid w:val="00750EA1"/>
    <w:rsid w:val="00752484"/>
    <w:rsid w:val="0075650A"/>
    <w:rsid w:val="00756E3B"/>
    <w:rsid w:val="0075731A"/>
    <w:rsid w:val="007577DC"/>
    <w:rsid w:val="0076214F"/>
    <w:rsid w:val="007639A7"/>
    <w:rsid w:val="007649B9"/>
    <w:rsid w:val="007701F8"/>
    <w:rsid w:val="00771668"/>
    <w:rsid w:val="007741C1"/>
    <w:rsid w:val="00774F22"/>
    <w:rsid w:val="007758FC"/>
    <w:rsid w:val="00782307"/>
    <w:rsid w:val="00782F74"/>
    <w:rsid w:val="00784F23"/>
    <w:rsid w:val="00784F8B"/>
    <w:rsid w:val="0078501A"/>
    <w:rsid w:val="0078560A"/>
    <w:rsid w:val="00785AFD"/>
    <w:rsid w:val="00785BF8"/>
    <w:rsid w:val="0079226E"/>
    <w:rsid w:val="00793C28"/>
    <w:rsid w:val="00794935"/>
    <w:rsid w:val="00795DDC"/>
    <w:rsid w:val="00796084"/>
    <w:rsid w:val="007A2F0A"/>
    <w:rsid w:val="007A2F0F"/>
    <w:rsid w:val="007A37C2"/>
    <w:rsid w:val="007A45CE"/>
    <w:rsid w:val="007A55B0"/>
    <w:rsid w:val="007A66C3"/>
    <w:rsid w:val="007A6C54"/>
    <w:rsid w:val="007A6E48"/>
    <w:rsid w:val="007A74AE"/>
    <w:rsid w:val="007B0AC6"/>
    <w:rsid w:val="007B0DDC"/>
    <w:rsid w:val="007B11DD"/>
    <w:rsid w:val="007B2073"/>
    <w:rsid w:val="007B262D"/>
    <w:rsid w:val="007B35C5"/>
    <w:rsid w:val="007B66B1"/>
    <w:rsid w:val="007B7245"/>
    <w:rsid w:val="007B7C79"/>
    <w:rsid w:val="007C0902"/>
    <w:rsid w:val="007C178C"/>
    <w:rsid w:val="007C1DDF"/>
    <w:rsid w:val="007C2B34"/>
    <w:rsid w:val="007C709C"/>
    <w:rsid w:val="007D00A7"/>
    <w:rsid w:val="007D0F81"/>
    <w:rsid w:val="007D2AFF"/>
    <w:rsid w:val="007D3B8E"/>
    <w:rsid w:val="007D407D"/>
    <w:rsid w:val="007D4512"/>
    <w:rsid w:val="007D670D"/>
    <w:rsid w:val="007D7813"/>
    <w:rsid w:val="007E3665"/>
    <w:rsid w:val="007E674B"/>
    <w:rsid w:val="007E6BD9"/>
    <w:rsid w:val="007E7D06"/>
    <w:rsid w:val="007F1801"/>
    <w:rsid w:val="007F2E0A"/>
    <w:rsid w:val="007F4E09"/>
    <w:rsid w:val="008013D4"/>
    <w:rsid w:val="00802F6D"/>
    <w:rsid w:val="008032DD"/>
    <w:rsid w:val="00803C58"/>
    <w:rsid w:val="0080435B"/>
    <w:rsid w:val="00804FD8"/>
    <w:rsid w:val="00806546"/>
    <w:rsid w:val="00806E81"/>
    <w:rsid w:val="00812DDE"/>
    <w:rsid w:val="00813088"/>
    <w:rsid w:val="00813FDE"/>
    <w:rsid w:val="008147E7"/>
    <w:rsid w:val="00814A8E"/>
    <w:rsid w:val="00817315"/>
    <w:rsid w:val="0082146C"/>
    <w:rsid w:val="008217FB"/>
    <w:rsid w:val="008225C9"/>
    <w:rsid w:val="00822631"/>
    <w:rsid w:val="008245D2"/>
    <w:rsid w:val="00824CBF"/>
    <w:rsid w:val="00826653"/>
    <w:rsid w:val="00827A66"/>
    <w:rsid w:val="00827DE9"/>
    <w:rsid w:val="0083093A"/>
    <w:rsid w:val="00832EAF"/>
    <w:rsid w:val="008332E9"/>
    <w:rsid w:val="0083410C"/>
    <w:rsid w:val="00834E11"/>
    <w:rsid w:val="00840187"/>
    <w:rsid w:val="008425D0"/>
    <w:rsid w:val="00842C15"/>
    <w:rsid w:val="0084334C"/>
    <w:rsid w:val="00843642"/>
    <w:rsid w:val="00844A61"/>
    <w:rsid w:val="00845C9A"/>
    <w:rsid w:val="008469CF"/>
    <w:rsid w:val="0085081F"/>
    <w:rsid w:val="00851368"/>
    <w:rsid w:val="00852869"/>
    <w:rsid w:val="00854867"/>
    <w:rsid w:val="00856DB6"/>
    <w:rsid w:val="008573DE"/>
    <w:rsid w:val="0086024D"/>
    <w:rsid w:val="00860487"/>
    <w:rsid w:val="008613B8"/>
    <w:rsid w:val="00864921"/>
    <w:rsid w:val="008676F3"/>
    <w:rsid w:val="00872276"/>
    <w:rsid w:val="00872439"/>
    <w:rsid w:val="00872816"/>
    <w:rsid w:val="00874E5A"/>
    <w:rsid w:val="0087683D"/>
    <w:rsid w:val="0087713F"/>
    <w:rsid w:val="00881271"/>
    <w:rsid w:val="00882DC0"/>
    <w:rsid w:val="00885519"/>
    <w:rsid w:val="00886C09"/>
    <w:rsid w:val="008871BE"/>
    <w:rsid w:val="008875E7"/>
    <w:rsid w:val="00887F56"/>
    <w:rsid w:val="0089005A"/>
    <w:rsid w:val="008909A1"/>
    <w:rsid w:val="0089125E"/>
    <w:rsid w:val="00892B7E"/>
    <w:rsid w:val="00892CE3"/>
    <w:rsid w:val="00895AF0"/>
    <w:rsid w:val="00896C71"/>
    <w:rsid w:val="00896D79"/>
    <w:rsid w:val="00897D59"/>
    <w:rsid w:val="008A005F"/>
    <w:rsid w:val="008A1EFE"/>
    <w:rsid w:val="008A2D1D"/>
    <w:rsid w:val="008A401F"/>
    <w:rsid w:val="008A4B6D"/>
    <w:rsid w:val="008A5583"/>
    <w:rsid w:val="008A6E06"/>
    <w:rsid w:val="008B298E"/>
    <w:rsid w:val="008B2D5E"/>
    <w:rsid w:val="008B37DF"/>
    <w:rsid w:val="008B535E"/>
    <w:rsid w:val="008B564C"/>
    <w:rsid w:val="008B6FD4"/>
    <w:rsid w:val="008C12A6"/>
    <w:rsid w:val="008C1647"/>
    <w:rsid w:val="008C1CF8"/>
    <w:rsid w:val="008C2A67"/>
    <w:rsid w:val="008C3587"/>
    <w:rsid w:val="008C4F77"/>
    <w:rsid w:val="008C5B65"/>
    <w:rsid w:val="008C6F52"/>
    <w:rsid w:val="008D11E6"/>
    <w:rsid w:val="008D3078"/>
    <w:rsid w:val="008D32C6"/>
    <w:rsid w:val="008D3839"/>
    <w:rsid w:val="008D4015"/>
    <w:rsid w:val="008D4DCD"/>
    <w:rsid w:val="008D4E10"/>
    <w:rsid w:val="008D5677"/>
    <w:rsid w:val="008D6489"/>
    <w:rsid w:val="008E0238"/>
    <w:rsid w:val="008E1598"/>
    <w:rsid w:val="008E3387"/>
    <w:rsid w:val="008E3AE9"/>
    <w:rsid w:val="008E3EFD"/>
    <w:rsid w:val="008E3FF2"/>
    <w:rsid w:val="008E4093"/>
    <w:rsid w:val="008E4468"/>
    <w:rsid w:val="008E4DEC"/>
    <w:rsid w:val="008E4F2B"/>
    <w:rsid w:val="008E55AE"/>
    <w:rsid w:val="008E6929"/>
    <w:rsid w:val="008E7A4E"/>
    <w:rsid w:val="008E7DE7"/>
    <w:rsid w:val="008F1EF5"/>
    <w:rsid w:val="008F3130"/>
    <w:rsid w:val="008F38C7"/>
    <w:rsid w:val="008F3C4D"/>
    <w:rsid w:val="008F5E84"/>
    <w:rsid w:val="009002D5"/>
    <w:rsid w:val="00900C1A"/>
    <w:rsid w:val="00901B2F"/>
    <w:rsid w:val="00901FA8"/>
    <w:rsid w:val="009052FB"/>
    <w:rsid w:val="009070F0"/>
    <w:rsid w:val="00912DF4"/>
    <w:rsid w:val="00915F3A"/>
    <w:rsid w:val="009170E8"/>
    <w:rsid w:val="009170F7"/>
    <w:rsid w:val="00921962"/>
    <w:rsid w:val="00922425"/>
    <w:rsid w:val="00923A35"/>
    <w:rsid w:val="0092602F"/>
    <w:rsid w:val="00926242"/>
    <w:rsid w:val="009273EC"/>
    <w:rsid w:val="0093116E"/>
    <w:rsid w:val="009322F9"/>
    <w:rsid w:val="0093538A"/>
    <w:rsid w:val="00935744"/>
    <w:rsid w:val="0093583F"/>
    <w:rsid w:val="00936843"/>
    <w:rsid w:val="00940053"/>
    <w:rsid w:val="00940C44"/>
    <w:rsid w:val="0094223C"/>
    <w:rsid w:val="00942D42"/>
    <w:rsid w:val="00942F2E"/>
    <w:rsid w:val="00945A9B"/>
    <w:rsid w:val="00947019"/>
    <w:rsid w:val="00947388"/>
    <w:rsid w:val="009509E9"/>
    <w:rsid w:val="00950C03"/>
    <w:rsid w:val="00951CAF"/>
    <w:rsid w:val="0095219F"/>
    <w:rsid w:val="009525E5"/>
    <w:rsid w:val="00952A72"/>
    <w:rsid w:val="0095595D"/>
    <w:rsid w:val="00955FBB"/>
    <w:rsid w:val="009561FF"/>
    <w:rsid w:val="00956692"/>
    <w:rsid w:val="00957DF4"/>
    <w:rsid w:val="00960E2D"/>
    <w:rsid w:val="00961819"/>
    <w:rsid w:val="00962A11"/>
    <w:rsid w:val="00964535"/>
    <w:rsid w:val="00964B86"/>
    <w:rsid w:val="009704E5"/>
    <w:rsid w:val="009707C5"/>
    <w:rsid w:val="00970FEC"/>
    <w:rsid w:val="009735E6"/>
    <w:rsid w:val="00973B58"/>
    <w:rsid w:val="00973DB7"/>
    <w:rsid w:val="0097446A"/>
    <w:rsid w:val="009744BE"/>
    <w:rsid w:val="009745FE"/>
    <w:rsid w:val="00975B3E"/>
    <w:rsid w:val="00975EE0"/>
    <w:rsid w:val="009770D8"/>
    <w:rsid w:val="00981140"/>
    <w:rsid w:val="009813A9"/>
    <w:rsid w:val="009815CD"/>
    <w:rsid w:val="00981EAD"/>
    <w:rsid w:val="00981EBA"/>
    <w:rsid w:val="0098301A"/>
    <w:rsid w:val="00983636"/>
    <w:rsid w:val="00983A13"/>
    <w:rsid w:val="0098508A"/>
    <w:rsid w:val="0098781B"/>
    <w:rsid w:val="00987A4E"/>
    <w:rsid w:val="0099040F"/>
    <w:rsid w:val="009932C9"/>
    <w:rsid w:val="00993A84"/>
    <w:rsid w:val="00994EB9"/>
    <w:rsid w:val="00995920"/>
    <w:rsid w:val="00996B5E"/>
    <w:rsid w:val="009A2FD9"/>
    <w:rsid w:val="009A34F3"/>
    <w:rsid w:val="009A38B6"/>
    <w:rsid w:val="009B16EE"/>
    <w:rsid w:val="009B202B"/>
    <w:rsid w:val="009B3C01"/>
    <w:rsid w:val="009B42BB"/>
    <w:rsid w:val="009B438C"/>
    <w:rsid w:val="009B5E8F"/>
    <w:rsid w:val="009B6C74"/>
    <w:rsid w:val="009B73F1"/>
    <w:rsid w:val="009B7482"/>
    <w:rsid w:val="009B7925"/>
    <w:rsid w:val="009B7B5D"/>
    <w:rsid w:val="009C48CA"/>
    <w:rsid w:val="009C59A7"/>
    <w:rsid w:val="009C6626"/>
    <w:rsid w:val="009C72D3"/>
    <w:rsid w:val="009D05DF"/>
    <w:rsid w:val="009D1AE9"/>
    <w:rsid w:val="009D2023"/>
    <w:rsid w:val="009D2206"/>
    <w:rsid w:val="009D325B"/>
    <w:rsid w:val="009D36DA"/>
    <w:rsid w:val="009D594F"/>
    <w:rsid w:val="009D624F"/>
    <w:rsid w:val="009D694A"/>
    <w:rsid w:val="009D73BD"/>
    <w:rsid w:val="009E0C7F"/>
    <w:rsid w:val="009E1997"/>
    <w:rsid w:val="009E2AEC"/>
    <w:rsid w:val="009E3EEC"/>
    <w:rsid w:val="009E3EEF"/>
    <w:rsid w:val="009E4092"/>
    <w:rsid w:val="009E443D"/>
    <w:rsid w:val="009E5337"/>
    <w:rsid w:val="009E65DD"/>
    <w:rsid w:val="009F2DBE"/>
    <w:rsid w:val="009F3CD6"/>
    <w:rsid w:val="009F4E9D"/>
    <w:rsid w:val="009F5408"/>
    <w:rsid w:val="009F5514"/>
    <w:rsid w:val="009F6191"/>
    <w:rsid w:val="009F665C"/>
    <w:rsid w:val="009F66A0"/>
    <w:rsid w:val="00A00D72"/>
    <w:rsid w:val="00A015E5"/>
    <w:rsid w:val="00A02632"/>
    <w:rsid w:val="00A06377"/>
    <w:rsid w:val="00A10D55"/>
    <w:rsid w:val="00A13688"/>
    <w:rsid w:val="00A13C1E"/>
    <w:rsid w:val="00A15540"/>
    <w:rsid w:val="00A2102A"/>
    <w:rsid w:val="00A21160"/>
    <w:rsid w:val="00A2183E"/>
    <w:rsid w:val="00A22DA9"/>
    <w:rsid w:val="00A2474F"/>
    <w:rsid w:val="00A253DC"/>
    <w:rsid w:val="00A25B2D"/>
    <w:rsid w:val="00A25BCB"/>
    <w:rsid w:val="00A265CE"/>
    <w:rsid w:val="00A30A91"/>
    <w:rsid w:val="00A31495"/>
    <w:rsid w:val="00A31D5B"/>
    <w:rsid w:val="00A3295F"/>
    <w:rsid w:val="00A33CA3"/>
    <w:rsid w:val="00A33D1E"/>
    <w:rsid w:val="00A34D46"/>
    <w:rsid w:val="00A369A6"/>
    <w:rsid w:val="00A37571"/>
    <w:rsid w:val="00A40368"/>
    <w:rsid w:val="00A4091F"/>
    <w:rsid w:val="00A40B7C"/>
    <w:rsid w:val="00A42A24"/>
    <w:rsid w:val="00A42C4C"/>
    <w:rsid w:val="00A435B6"/>
    <w:rsid w:val="00A43EB7"/>
    <w:rsid w:val="00A44FDC"/>
    <w:rsid w:val="00A45773"/>
    <w:rsid w:val="00A45FEF"/>
    <w:rsid w:val="00A464AC"/>
    <w:rsid w:val="00A5008B"/>
    <w:rsid w:val="00A5029B"/>
    <w:rsid w:val="00A50C9B"/>
    <w:rsid w:val="00A50F5E"/>
    <w:rsid w:val="00A5173B"/>
    <w:rsid w:val="00A56195"/>
    <w:rsid w:val="00A56364"/>
    <w:rsid w:val="00A571D0"/>
    <w:rsid w:val="00A6000E"/>
    <w:rsid w:val="00A60422"/>
    <w:rsid w:val="00A628FA"/>
    <w:rsid w:val="00A63E81"/>
    <w:rsid w:val="00A700D5"/>
    <w:rsid w:val="00A7382F"/>
    <w:rsid w:val="00A75277"/>
    <w:rsid w:val="00A752FE"/>
    <w:rsid w:val="00A76244"/>
    <w:rsid w:val="00A82A6F"/>
    <w:rsid w:val="00A82FE0"/>
    <w:rsid w:val="00A8431B"/>
    <w:rsid w:val="00A8482E"/>
    <w:rsid w:val="00A84F27"/>
    <w:rsid w:val="00A91ABA"/>
    <w:rsid w:val="00A91B91"/>
    <w:rsid w:val="00A91D6B"/>
    <w:rsid w:val="00A948F1"/>
    <w:rsid w:val="00A9535D"/>
    <w:rsid w:val="00A97A29"/>
    <w:rsid w:val="00A97EE2"/>
    <w:rsid w:val="00AA0A98"/>
    <w:rsid w:val="00AA2025"/>
    <w:rsid w:val="00AA2359"/>
    <w:rsid w:val="00AA25B2"/>
    <w:rsid w:val="00AA5AE7"/>
    <w:rsid w:val="00AA7092"/>
    <w:rsid w:val="00AA78DC"/>
    <w:rsid w:val="00AB1270"/>
    <w:rsid w:val="00AB2997"/>
    <w:rsid w:val="00AB3391"/>
    <w:rsid w:val="00AB664E"/>
    <w:rsid w:val="00AB69A9"/>
    <w:rsid w:val="00AB7948"/>
    <w:rsid w:val="00AB7E17"/>
    <w:rsid w:val="00AC039F"/>
    <w:rsid w:val="00AC0F87"/>
    <w:rsid w:val="00AC679B"/>
    <w:rsid w:val="00AD196F"/>
    <w:rsid w:val="00AD4328"/>
    <w:rsid w:val="00AD6239"/>
    <w:rsid w:val="00AD6388"/>
    <w:rsid w:val="00AD7E03"/>
    <w:rsid w:val="00AE3650"/>
    <w:rsid w:val="00AE4035"/>
    <w:rsid w:val="00AE4853"/>
    <w:rsid w:val="00AE4C2D"/>
    <w:rsid w:val="00AE6801"/>
    <w:rsid w:val="00AE6CD7"/>
    <w:rsid w:val="00AE7A55"/>
    <w:rsid w:val="00AF087F"/>
    <w:rsid w:val="00AF0EAF"/>
    <w:rsid w:val="00AF1352"/>
    <w:rsid w:val="00AF1CEF"/>
    <w:rsid w:val="00AF2C54"/>
    <w:rsid w:val="00AF406C"/>
    <w:rsid w:val="00AF4FF7"/>
    <w:rsid w:val="00AF5C86"/>
    <w:rsid w:val="00AF738F"/>
    <w:rsid w:val="00AF73CE"/>
    <w:rsid w:val="00B012F2"/>
    <w:rsid w:val="00B0187F"/>
    <w:rsid w:val="00B034C6"/>
    <w:rsid w:val="00B041F4"/>
    <w:rsid w:val="00B04BD3"/>
    <w:rsid w:val="00B050BD"/>
    <w:rsid w:val="00B0537D"/>
    <w:rsid w:val="00B05CFD"/>
    <w:rsid w:val="00B070CE"/>
    <w:rsid w:val="00B1267E"/>
    <w:rsid w:val="00B128B5"/>
    <w:rsid w:val="00B1307E"/>
    <w:rsid w:val="00B13B33"/>
    <w:rsid w:val="00B14EA7"/>
    <w:rsid w:val="00B159D0"/>
    <w:rsid w:val="00B16275"/>
    <w:rsid w:val="00B2028B"/>
    <w:rsid w:val="00B207B1"/>
    <w:rsid w:val="00B20AB7"/>
    <w:rsid w:val="00B21369"/>
    <w:rsid w:val="00B24FBE"/>
    <w:rsid w:val="00B25B82"/>
    <w:rsid w:val="00B26F08"/>
    <w:rsid w:val="00B327EA"/>
    <w:rsid w:val="00B33732"/>
    <w:rsid w:val="00B33834"/>
    <w:rsid w:val="00B362BB"/>
    <w:rsid w:val="00B366A0"/>
    <w:rsid w:val="00B42F80"/>
    <w:rsid w:val="00B42FD8"/>
    <w:rsid w:val="00B458D2"/>
    <w:rsid w:val="00B50652"/>
    <w:rsid w:val="00B52789"/>
    <w:rsid w:val="00B52B31"/>
    <w:rsid w:val="00B52F65"/>
    <w:rsid w:val="00B53B5C"/>
    <w:rsid w:val="00B55630"/>
    <w:rsid w:val="00B562D9"/>
    <w:rsid w:val="00B56DFA"/>
    <w:rsid w:val="00B57E44"/>
    <w:rsid w:val="00B619B2"/>
    <w:rsid w:val="00B62912"/>
    <w:rsid w:val="00B641F2"/>
    <w:rsid w:val="00B67707"/>
    <w:rsid w:val="00B67DE1"/>
    <w:rsid w:val="00B7196B"/>
    <w:rsid w:val="00B72880"/>
    <w:rsid w:val="00B73125"/>
    <w:rsid w:val="00B73A57"/>
    <w:rsid w:val="00B76B8A"/>
    <w:rsid w:val="00B772DB"/>
    <w:rsid w:val="00B77597"/>
    <w:rsid w:val="00B775A7"/>
    <w:rsid w:val="00B80D86"/>
    <w:rsid w:val="00B8119C"/>
    <w:rsid w:val="00B8124F"/>
    <w:rsid w:val="00B821C6"/>
    <w:rsid w:val="00B835EA"/>
    <w:rsid w:val="00B839C8"/>
    <w:rsid w:val="00B84730"/>
    <w:rsid w:val="00B85C17"/>
    <w:rsid w:val="00B86009"/>
    <w:rsid w:val="00B86BFE"/>
    <w:rsid w:val="00B87DD9"/>
    <w:rsid w:val="00B90DAF"/>
    <w:rsid w:val="00B92720"/>
    <w:rsid w:val="00B945D5"/>
    <w:rsid w:val="00BA0681"/>
    <w:rsid w:val="00BA0926"/>
    <w:rsid w:val="00BA19EA"/>
    <w:rsid w:val="00BA36AB"/>
    <w:rsid w:val="00BA38CD"/>
    <w:rsid w:val="00BA679D"/>
    <w:rsid w:val="00BA732A"/>
    <w:rsid w:val="00BB06A6"/>
    <w:rsid w:val="00BB0EE5"/>
    <w:rsid w:val="00BB1A88"/>
    <w:rsid w:val="00BB1B23"/>
    <w:rsid w:val="00BB30AB"/>
    <w:rsid w:val="00BB62A9"/>
    <w:rsid w:val="00BB7CA0"/>
    <w:rsid w:val="00BC059D"/>
    <w:rsid w:val="00BC0ABA"/>
    <w:rsid w:val="00BC14C9"/>
    <w:rsid w:val="00BC5D8D"/>
    <w:rsid w:val="00BC6403"/>
    <w:rsid w:val="00BD030B"/>
    <w:rsid w:val="00BD05C4"/>
    <w:rsid w:val="00BD0F4E"/>
    <w:rsid w:val="00BD2469"/>
    <w:rsid w:val="00BD3554"/>
    <w:rsid w:val="00BD3C18"/>
    <w:rsid w:val="00BD3DAB"/>
    <w:rsid w:val="00BD6A4A"/>
    <w:rsid w:val="00BE0D9D"/>
    <w:rsid w:val="00BE223A"/>
    <w:rsid w:val="00BE42B5"/>
    <w:rsid w:val="00BE4709"/>
    <w:rsid w:val="00BE56E7"/>
    <w:rsid w:val="00BE7F33"/>
    <w:rsid w:val="00BF1407"/>
    <w:rsid w:val="00BF2649"/>
    <w:rsid w:val="00BF3949"/>
    <w:rsid w:val="00BF7A75"/>
    <w:rsid w:val="00C029B2"/>
    <w:rsid w:val="00C04F43"/>
    <w:rsid w:val="00C053CE"/>
    <w:rsid w:val="00C05B04"/>
    <w:rsid w:val="00C0607D"/>
    <w:rsid w:val="00C07669"/>
    <w:rsid w:val="00C10594"/>
    <w:rsid w:val="00C11FA2"/>
    <w:rsid w:val="00C16B14"/>
    <w:rsid w:val="00C16C07"/>
    <w:rsid w:val="00C16DF1"/>
    <w:rsid w:val="00C16DFE"/>
    <w:rsid w:val="00C17326"/>
    <w:rsid w:val="00C20FD8"/>
    <w:rsid w:val="00C22435"/>
    <w:rsid w:val="00C23065"/>
    <w:rsid w:val="00C24966"/>
    <w:rsid w:val="00C24AF0"/>
    <w:rsid w:val="00C25023"/>
    <w:rsid w:val="00C2620D"/>
    <w:rsid w:val="00C26A48"/>
    <w:rsid w:val="00C30CAB"/>
    <w:rsid w:val="00C312A6"/>
    <w:rsid w:val="00C33011"/>
    <w:rsid w:val="00C340E1"/>
    <w:rsid w:val="00C35260"/>
    <w:rsid w:val="00C36A01"/>
    <w:rsid w:val="00C42AC6"/>
    <w:rsid w:val="00C518C3"/>
    <w:rsid w:val="00C529E9"/>
    <w:rsid w:val="00C536AE"/>
    <w:rsid w:val="00C5424A"/>
    <w:rsid w:val="00C55F5B"/>
    <w:rsid w:val="00C565DB"/>
    <w:rsid w:val="00C61D7F"/>
    <w:rsid w:val="00C62B2C"/>
    <w:rsid w:val="00C63154"/>
    <w:rsid w:val="00C67A30"/>
    <w:rsid w:val="00C70484"/>
    <w:rsid w:val="00C70B03"/>
    <w:rsid w:val="00C70F2D"/>
    <w:rsid w:val="00C743AC"/>
    <w:rsid w:val="00C75BD7"/>
    <w:rsid w:val="00C7734F"/>
    <w:rsid w:val="00C80DA2"/>
    <w:rsid w:val="00C82706"/>
    <w:rsid w:val="00C82779"/>
    <w:rsid w:val="00C82A59"/>
    <w:rsid w:val="00C84222"/>
    <w:rsid w:val="00C87016"/>
    <w:rsid w:val="00C8752A"/>
    <w:rsid w:val="00C87F33"/>
    <w:rsid w:val="00C9253C"/>
    <w:rsid w:val="00C92F15"/>
    <w:rsid w:val="00C93119"/>
    <w:rsid w:val="00C934A6"/>
    <w:rsid w:val="00C95248"/>
    <w:rsid w:val="00C95CB5"/>
    <w:rsid w:val="00C95E4E"/>
    <w:rsid w:val="00C95E5D"/>
    <w:rsid w:val="00C95EDC"/>
    <w:rsid w:val="00C96108"/>
    <w:rsid w:val="00C9717D"/>
    <w:rsid w:val="00C97429"/>
    <w:rsid w:val="00CA0A36"/>
    <w:rsid w:val="00CA13B1"/>
    <w:rsid w:val="00CA2D93"/>
    <w:rsid w:val="00CA2F72"/>
    <w:rsid w:val="00CA36EA"/>
    <w:rsid w:val="00CA5E80"/>
    <w:rsid w:val="00CA6A76"/>
    <w:rsid w:val="00CA6BD7"/>
    <w:rsid w:val="00CA7260"/>
    <w:rsid w:val="00CB0D81"/>
    <w:rsid w:val="00CB12F4"/>
    <w:rsid w:val="00CB2796"/>
    <w:rsid w:val="00CB2C07"/>
    <w:rsid w:val="00CB2F38"/>
    <w:rsid w:val="00CB360F"/>
    <w:rsid w:val="00CB399B"/>
    <w:rsid w:val="00CB449D"/>
    <w:rsid w:val="00CB6BA9"/>
    <w:rsid w:val="00CC0037"/>
    <w:rsid w:val="00CC283E"/>
    <w:rsid w:val="00CC2DD1"/>
    <w:rsid w:val="00CC2DE6"/>
    <w:rsid w:val="00CC41B5"/>
    <w:rsid w:val="00CC57ED"/>
    <w:rsid w:val="00CC59CB"/>
    <w:rsid w:val="00CC5B08"/>
    <w:rsid w:val="00CC7632"/>
    <w:rsid w:val="00CC77CB"/>
    <w:rsid w:val="00CD06C1"/>
    <w:rsid w:val="00CD1DF0"/>
    <w:rsid w:val="00CD24C7"/>
    <w:rsid w:val="00CD2EBD"/>
    <w:rsid w:val="00CD4B5B"/>
    <w:rsid w:val="00CD63BE"/>
    <w:rsid w:val="00CD652A"/>
    <w:rsid w:val="00CD68B7"/>
    <w:rsid w:val="00CD7B3C"/>
    <w:rsid w:val="00CD7D62"/>
    <w:rsid w:val="00CD7D80"/>
    <w:rsid w:val="00CE054A"/>
    <w:rsid w:val="00CE0E1C"/>
    <w:rsid w:val="00CE27BB"/>
    <w:rsid w:val="00CE3CBB"/>
    <w:rsid w:val="00CE5873"/>
    <w:rsid w:val="00CE5A88"/>
    <w:rsid w:val="00CE65E5"/>
    <w:rsid w:val="00CE676C"/>
    <w:rsid w:val="00CE70F6"/>
    <w:rsid w:val="00CE77B3"/>
    <w:rsid w:val="00CF13F0"/>
    <w:rsid w:val="00CF3AA1"/>
    <w:rsid w:val="00CF57D1"/>
    <w:rsid w:val="00CF6310"/>
    <w:rsid w:val="00CF72B5"/>
    <w:rsid w:val="00CF7B06"/>
    <w:rsid w:val="00D0135E"/>
    <w:rsid w:val="00D02360"/>
    <w:rsid w:val="00D0446D"/>
    <w:rsid w:val="00D05302"/>
    <w:rsid w:val="00D05F77"/>
    <w:rsid w:val="00D07407"/>
    <w:rsid w:val="00D07D6B"/>
    <w:rsid w:val="00D111F9"/>
    <w:rsid w:val="00D125AA"/>
    <w:rsid w:val="00D12733"/>
    <w:rsid w:val="00D14746"/>
    <w:rsid w:val="00D151B2"/>
    <w:rsid w:val="00D1580B"/>
    <w:rsid w:val="00D22E25"/>
    <w:rsid w:val="00D23658"/>
    <w:rsid w:val="00D26858"/>
    <w:rsid w:val="00D27B68"/>
    <w:rsid w:val="00D31FC1"/>
    <w:rsid w:val="00D32155"/>
    <w:rsid w:val="00D3279E"/>
    <w:rsid w:val="00D32B71"/>
    <w:rsid w:val="00D337A8"/>
    <w:rsid w:val="00D33AC9"/>
    <w:rsid w:val="00D43B02"/>
    <w:rsid w:val="00D4525B"/>
    <w:rsid w:val="00D45974"/>
    <w:rsid w:val="00D46D9A"/>
    <w:rsid w:val="00D46EEA"/>
    <w:rsid w:val="00D47A86"/>
    <w:rsid w:val="00D50962"/>
    <w:rsid w:val="00D50E02"/>
    <w:rsid w:val="00D50F58"/>
    <w:rsid w:val="00D51A79"/>
    <w:rsid w:val="00D5234C"/>
    <w:rsid w:val="00D53DD9"/>
    <w:rsid w:val="00D53FF9"/>
    <w:rsid w:val="00D54440"/>
    <w:rsid w:val="00D55A86"/>
    <w:rsid w:val="00D568D5"/>
    <w:rsid w:val="00D618DE"/>
    <w:rsid w:val="00D621DB"/>
    <w:rsid w:val="00D636DA"/>
    <w:rsid w:val="00D63869"/>
    <w:rsid w:val="00D639C6"/>
    <w:rsid w:val="00D63B64"/>
    <w:rsid w:val="00D642E1"/>
    <w:rsid w:val="00D65AB3"/>
    <w:rsid w:val="00D65B4D"/>
    <w:rsid w:val="00D65EE9"/>
    <w:rsid w:val="00D65FAE"/>
    <w:rsid w:val="00D66059"/>
    <w:rsid w:val="00D672FF"/>
    <w:rsid w:val="00D70818"/>
    <w:rsid w:val="00D71190"/>
    <w:rsid w:val="00D7136A"/>
    <w:rsid w:val="00D71E5C"/>
    <w:rsid w:val="00D721AE"/>
    <w:rsid w:val="00D72BDE"/>
    <w:rsid w:val="00D733A5"/>
    <w:rsid w:val="00D738EF"/>
    <w:rsid w:val="00D74192"/>
    <w:rsid w:val="00D75577"/>
    <w:rsid w:val="00D7716A"/>
    <w:rsid w:val="00D80814"/>
    <w:rsid w:val="00D81723"/>
    <w:rsid w:val="00D844B2"/>
    <w:rsid w:val="00D858F1"/>
    <w:rsid w:val="00D8602C"/>
    <w:rsid w:val="00D86FDC"/>
    <w:rsid w:val="00D87B64"/>
    <w:rsid w:val="00D9133B"/>
    <w:rsid w:val="00D9157D"/>
    <w:rsid w:val="00D91655"/>
    <w:rsid w:val="00D96D8E"/>
    <w:rsid w:val="00D975BC"/>
    <w:rsid w:val="00D97E54"/>
    <w:rsid w:val="00DA034F"/>
    <w:rsid w:val="00DA1500"/>
    <w:rsid w:val="00DA2709"/>
    <w:rsid w:val="00DA3582"/>
    <w:rsid w:val="00DA4524"/>
    <w:rsid w:val="00DB1161"/>
    <w:rsid w:val="00DB2061"/>
    <w:rsid w:val="00DB4A89"/>
    <w:rsid w:val="00DB618B"/>
    <w:rsid w:val="00DB677F"/>
    <w:rsid w:val="00DB690E"/>
    <w:rsid w:val="00DB69E6"/>
    <w:rsid w:val="00DB7427"/>
    <w:rsid w:val="00DB79FD"/>
    <w:rsid w:val="00DC0303"/>
    <w:rsid w:val="00DC03F7"/>
    <w:rsid w:val="00DC178B"/>
    <w:rsid w:val="00DC5D74"/>
    <w:rsid w:val="00DC5F9C"/>
    <w:rsid w:val="00DC6BB7"/>
    <w:rsid w:val="00DC7212"/>
    <w:rsid w:val="00DC7EA4"/>
    <w:rsid w:val="00DD05DF"/>
    <w:rsid w:val="00DD10BA"/>
    <w:rsid w:val="00DD2A3A"/>
    <w:rsid w:val="00DD399E"/>
    <w:rsid w:val="00DD4304"/>
    <w:rsid w:val="00DD441C"/>
    <w:rsid w:val="00DD4833"/>
    <w:rsid w:val="00DD49F9"/>
    <w:rsid w:val="00DD579C"/>
    <w:rsid w:val="00DD6BCB"/>
    <w:rsid w:val="00DD7B6F"/>
    <w:rsid w:val="00DD7BC7"/>
    <w:rsid w:val="00DD7D32"/>
    <w:rsid w:val="00DE1677"/>
    <w:rsid w:val="00DE43AF"/>
    <w:rsid w:val="00DE45BC"/>
    <w:rsid w:val="00DE4AD6"/>
    <w:rsid w:val="00DE507C"/>
    <w:rsid w:val="00DE5C53"/>
    <w:rsid w:val="00DE6B90"/>
    <w:rsid w:val="00DE6C1C"/>
    <w:rsid w:val="00DF0A15"/>
    <w:rsid w:val="00DF0AAB"/>
    <w:rsid w:val="00DF12D7"/>
    <w:rsid w:val="00DF1866"/>
    <w:rsid w:val="00DF3B5B"/>
    <w:rsid w:val="00DF405D"/>
    <w:rsid w:val="00DF6275"/>
    <w:rsid w:val="00DF76EB"/>
    <w:rsid w:val="00DF7C6D"/>
    <w:rsid w:val="00E018BF"/>
    <w:rsid w:val="00E0213D"/>
    <w:rsid w:val="00E02B0F"/>
    <w:rsid w:val="00E04FEC"/>
    <w:rsid w:val="00E10961"/>
    <w:rsid w:val="00E10CB8"/>
    <w:rsid w:val="00E10DA6"/>
    <w:rsid w:val="00E1161A"/>
    <w:rsid w:val="00E143B9"/>
    <w:rsid w:val="00E14647"/>
    <w:rsid w:val="00E149D2"/>
    <w:rsid w:val="00E15E40"/>
    <w:rsid w:val="00E15F22"/>
    <w:rsid w:val="00E16886"/>
    <w:rsid w:val="00E16CD5"/>
    <w:rsid w:val="00E200AF"/>
    <w:rsid w:val="00E20477"/>
    <w:rsid w:val="00E20C21"/>
    <w:rsid w:val="00E219C8"/>
    <w:rsid w:val="00E23522"/>
    <w:rsid w:val="00E236DD"/>
    <w:rsid w:val="00E23B94"/>
    <w:rsid w:val="00E2495F"/>
    <w:rsid w:val="00E24F9E"/>
    <w:rsid w:val="00E25FE1"/>
    <w:rsid w:val="00E263F0"/>
    <w:rsid w:val="00E272C2"/>
    <w:rsid w:val="00E27A71"/>
    <w:rsid w:val="00E306EA"/>
    <w:rsid w:val="00E31CD0"/>
    <w:rsid w:val="00E31E33"/>
    <w:rsid w:val="00E3420D"/>
    <w:rsid w:val="00E3662B"/>
    <w:rsid w:val="00E37E5A"/>
    <w:rsid w:val="00E401D2"/>
    <w:rsid w:val="00E4116E"/>
    <w:rsid w:val="00E420F3"/>
    <w:rsid w:val="00E42E3C"/>
    <w:rsid w:val="00E443DA"/>
    <w:rsid w:val="00E4453D"/>
    <w:rsid w:val="00E44720"/>
    <w:rsid w:val="00E44FFD"/>
    <w:rsid w:val="00E5039C"/>
    <w:rsid w:val="00E5218D"/>
    <w:rsid w:val="00E524E7"/>
    <w:rsid w:val="00E532AC"/>
    <w:rsid w:val="00E54055"/>
    <w:rsid w:val="00E54913"/>
    <w:rsid w:val="00E55BB8"/>
    <w:rsid w:val="00E56CB4"/>
    <w:rsid w:val="00E620F4"/>
    <w:rsid w:val="00E628BB"/>
    <w:rsid w:val="00E62C9D"/>
    <w:rsid w:val="00E64D88"/>
    <w:rsid w:val="00E65702"/>
    <w:rsid w:val="00E70C92"/>
    <w:rsid w:val="00E7106F"/>
    <w:rsid w:val="00E72BB1"/>
    <w:rsid w:val="00E72C52"/>
    <w:rsid w:val="00E72F11"/>
    <w:rsid w:val="00E73A4D"/>
    <w:rsid w:val="00E7425D"/>
    <w:rsid w:val="00E74427"/>
    <w:rsid w:val="00E75EDD"/>
    <w:rsid w:val="00E7613C"/>
    <w:rsid w:val="00E76C43"/>
    <w:rsid w:val="00E77C4C"/>
    <w:rsid w:val="00E77FDD"/>
    <w:rsid w:val="00E8179F"/>
    <w:rsid w:val="00E819EA"/>
    <w:rsid w:val="00E8388E"/>
    <w:rsid w:val="00E85948"/>
    <w:rsid w:val="00E87735"/>
    <w:rsid w:val="00E9042C"/>
    <w:rsid w:val="00E912ED"/>
    <w:rsid w:val="00E916CD"/>
    <w:rsid w:val="00E9218C"/>
    <w:rsid w:val="00E9295A"/>
    <w:rsid w:val="00E9598F"/>
    <w:rsid w:val="00E95C81"/>
    <w:rsid w:val="00E95F24"/>
    <w:rsid w:val="00E96DD1"/>
    <w:rsid w:val="00E96F5F"/>
    <w:rsid w:val="00E97E5E"/>
    <w:rsid w:val="00EA199E"/>
    <w:rsid w:val="00EA3C72"/>
    <w:rsid w:val="00EA47C5"/>
    <w:rsid w:val="00EA7B76"/>
    <w:rsid w:val="00EB1EE3"/>
    <w:rsid w:val="00EB26F1"/>
    <w:rsid w:val="00EB2906"/>
    <w:rsid w:val="00EB416C"/>
    <w:rsid w:val="00EB5750"/>
    <w:rsid w:val="00EB5987"/>
    <w:rsid w:val="00EB62FE"/>
    <w:rsid w:val="00EB6344"/>
    <w:rsid w:val="00EB6AAA"/>
    <w:rsid w:val="00EB7FC4"/>
    <w:rsid w:val="00EC0E29"/>
    <w:rsid w:val="00EC0E2F"/>
    <w:rsid w:val="00EC3831"/>
    <w:rsid w:val="00EC3E8A"/>
    <w:rsid w:val="00EC4018"/>
    <w:rsid w:val="00EC4C2D"/>
    <w:rsid w:val="00EC51A5"/>
    <w:rsid w:val="00EC7FC2"/>
    <w:rsid w:val="00ED0068"/>
    <w:rsid w:val="00ED430E"/>
    <w:rsid w:val="00ED4C76"/>
    <w:rsid w:val="00ED5AEA"/>
    <w:rsid w:val="00EE0AA7"/>
    <w:rsid w:val="00EE1B97"/>
    <w:rsid w:val="00EE3B18"/>
    <w:rsid w:val="00EE47B8"/>
    <w:rsid w:val="00EF1463"/>
    <w:rsid w:val="00EF2C48"/>
    <w:rsid w:val="00EF327A"/>
    <w:rsid w:val="00EF3550"/>
    <w:rsid w:val="00EF3B7E"/>
    <w:rsid w:val="00EF44AB"/>
    <w:rsid w:val="00EF44B0"/>
    <w:rsid w:val="00EF4891"/>
    <w:rsid w:val="00EF48BD"/>
    <w:rsid w:val="00EF58C9"/>
    <w:rsid w:val="00EF5A67"/>
    <w:rsid w:val="00EF5B80"/>
    <w:rsid w:val="00EF5C44"/>
    <w:rsid w:val="00EF5F3D"/>
    <w:rsid w:val="00EF7421"/>
    <w:rsid w:val="00EF750F"/>
    <w:rsid w:val="00EF7523"/>
    <w:rsid w:val="00EF7804"/>
    <w:rsid w:val="00EF7AC3"/>
    <w:rsid w:val="00EF7C2C"/>
    <w:rsid w:val="00F00145"/>
    <w:rsid w:val="00F03634"/>
    <w:rsid w:val="00F0581A"/>
    <w:rsid w:val="00F06B34"/>
    <w:rsid w:val="00F07E83"/>
    <w:rsid w:val="00F12E7A"/>
    <w:rsid w:val="00F13F16"/>
    <w:rsid w:val="00F14A8C"/>
    <w:rsid w:val="00F15467"/>
    <w:rsid w:val="00F16C58"/>
    <w:rsid w:val="00F21166"/>
    <w:rsid w:val="00F215A4"/>
    <w:rsid w:val="00F2197A"/>
    <w:rsid w:val="00F21AF0"/>
    <w:rsid w:val="00F239F8"/>
    <w:rsid w:val="00F23E23"/>
    <w:rsid w:val="00F24602"/>
    <w:rsid w:val="00F26307"/>
    <w:rsid w:val="00F273F6"/>
    <w:rsid w:val="00F27763"/>
    <w:rsid w:val="00F3105C"/>
    <w:rsid w:val="00F31639"/>
    <w:rsid w:val="00F31F75"/>
    <w:rsid w:val="00F33010"/>
    <w:rsid w:val="00F33874"/>
    <w:rsid w:val="00F33EE0"/>
    <w:rsid w:val="00F34232"/>
    <w:rsid w:val="00F353A6"/>
    <w:rsid w:val="00F35870"/>
    <w:rsid w:val="00F43C57"/>
    <w:rsid w:val="00F44A8E"/>
    <w:rsid w:val="00F45A38"/>
    <w:rsid w:val="00F474E0"/>
    <w:rsid w:val="00F5101A"/>
    <w:rsid w:val="00F51391"/>
    <w:rsid w:val="00F5270A"/>
    <w:rsid w:val="00F53FBF"/>
    <w:rsid w:val="00F54DCD"/>
    <w:rsid w:val="00F56FD1"/>
    <w:rsid w:val="00F57E16"/>
    <w:rsid w:val="00F60084"/>
    <w:rsid w:val="00F6017C"/>
    <w:rsid w:val="00F60DD4"/>
    <w:rsid w:val="00F60E55"/>
    <w:rsid w:val="00F6349F"/>
    <w:rsid w:val="00F637D6"/>
    <w:rsid w:val="00F6417D"/>
    <w:rsid w:val="00F658BA"/>
    <w:rsid w:val="00F7048F"/>
    <w:rsid w:val="00F70D0E"/>
    <w:rsid w:val="00F72C1A"/>
    <w:rsid w:val="00F72DA6"/>
    <w:rsid w:val="00F7327F"/>
    <w:rsid w:val="00F73787"/>
    <w:rsid w:val="00F739A9"/>
    <w:rsid w:val="00F73ACC"/>
    <w:rsid w:val="00F74673"/>
    <w:rsid w:val="00F7489E"/>
    <w:rsid w:val="00F74E26"/>
    <w:rsid w:val="00F75BE5"/>
    <w:rsid w:val="00F80D78"/>
    <w:rsid w:val="00F81060"/>
    <w:rsid w:val="00F81558"/>
    <w:rsid w:val="00F8506D"/>
    <w:rsid w:val="00F8556F"/>
    <w:rsid w:val="00F85FA8"/>
    <w:rsid w:val="00F8657F"/>
    <w:rsid w:val="00F86815"/>
    <w:rsid w:val="00F86BA5"/>
    <w:rsid w:val="00F8788F"/>
    <w:rsid w:val="00F87A6D"/>
    <w:rsid w:val="00F92EA8"/>
    <w:rsid w:val="00F93369"/>
    <w:rsid w:val="00F94CFB"/>
    <w:rsid w:val="00F95652"/>
    <w:rsid w:val="00F9640D"/>
    <w:rsid w:val="00F9756F"/>
    <w:rsid w:val="00FA01B1"/>
    <w:rsid w:val="00FA27BD"/>
    <w:rsid w:val="00FA39D5"/>
    <w:rsid w:val="00FA42AD"/>
    <w:rsid w:val="00FA6002"/>
    <w:rsid w:val="00FA6989"/>
    <w:rsid w:val="00FB11BA"/>
    <w:rsid w:val="00FB2D74"/>
    <w:rsid w:val="00FB45D0"/>
    <w:rsid w:val="00FB7246"/>
    <w:rsid w:val="00FC1508"/>
    <w:rsid w:val="00FC1A14"/>
    <w:rsid w:val="00FC1A5A"/>
    <w:rsid w:val="00FC344A"/>
    <w:rsid w:val="00FC3F07"/>
    <w:rsid w:val="00FC49C5"/>
    <w:rsid w:val="00FC72E9"/>
    <w:rsid w:val="00FD1540"/>
    <w:rsid w:val="00FD2D1F"/>
    <w:rsid w:val="00FD38CD"/>
    <w:rsid w:val="00FD3A31"/>
    <w:rsid w:val="00FD4746"/>
    <w:rsid w:val="00FD611B"/>
    <w:rsid w:val="00FD70F0"/>
    <w:rsid w:val="00FD72AA"/>
    <w:rsid w:val="00FD7857"/>
    <w:rsid w:val="00FE3DB8"/>
    <w:rsid w:val="00FE423B"/>
    <w:rsid w:val="00FE46B3"/>
    <w:rsid w:val="00FE48FC"/>
    <w:rsid w:val="00FE565F"/>
    <w:rsid w:val="00FE6CC1"/>
    <w:rsid w:val="00FE7B9C"/>
    <w:rsid w:val="00FE7FF6"/>
    <w:rsid w:val="00FF1DD3"/>
    <w:rsid w:val="00FF4395"/>
    <w:rsid w:val="00FF4908"/>
    <w:rsid w:val="00FF4B3D"/>
    <w:rsid w:val="00FF58BC"/>
    <w:rsid w:val="00FF6799"/>
    <w:rsid w:val="00FF6E90"/>
    <w:rsid w:val="00FF6EA4"/>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xmlns:v="urn:schemas-microsoft-com:vml" xmlns:o="urn:schemas-microsoft-com:office:office" spidmax="1026" v:ext="edit"/>
    <o:shapelayout xmlns:v="urn:schemas-microsoft-com:vml" xmlns:o="urn:schemas-microsoft-com:office:office" v:ext="edit">
      <o:idmap data="1" v:ext="edit"/>
    </o:shapelayout>
  </w:shapeDefaults>
  <w:decimalSymbol w:val="."/>
  <w:listSeparator w:val=","/>
  <w15:docId w15:val="{6573F7A3-C273-4E82-83C3-5612640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336827">
      <w:bodyDiv w:val="1"/>
      <w:marLeft w:val="0"/>
      <w:marRight w:val="0"/>
      <w:marTop w:val="0"/>
      <w:marBottom w:val="0"/>
      <w:divBdr>
        <w:top w:val="none" w:sz="0" w:space="0" w:color="auto"/>
        <w:left w:val="none" w:sz="0" w:space="0" w:color="auto"/>
        <w:bottom w:val="none" w:sz="0" w:space="0" w:color="auto"/>
        <w:right w:val="none" w:sz="0" w:space="0" w:color="auto"/>
      </w:divBdr>
    </w:div>
    <w:div w:id="15194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3.xml" Type="http://schemas.openxmlformats.org/officeDocument/2006/relationships/header" Id="rId12"></Relationship><Relationship Target="numbering.xml" Type="http://schemas.openxmlformats.org/officeDocument/2006/relationships/numbering"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fontTable.xml" Type="http://schemas.openxmlformats.org/officeDocument/2006/relationships/fontTabl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footer4.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Target="itemProps1.xml" Type="http://schemas.openxmlformats.org/officeDocument/2006/relationships/customXmlProps" Id="rId1"></Relationship></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FD654E7B-A5C9-4E23-BD7D-7CE66BF88EE9}">
  <ds:schemaRefs>
    <ds:schemaRef ds:uri="http://schemas.openxmlformats.org/officeDocument/2006/bibliography"/>
  </ds:schemaRefs>
</ds:datastoreItem>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Microsoft</properties:Company>
  <properties:Pages>25</properties:Pages>
  <properties:Words>4317</properties:Words>
  <properties:Characters>24612</properties:Characters>
  <properties:Lines>205</properties:Lines>
  <properties:Paragraphs>57</properties:Paragraphs>
  <properties:TotalTime>61</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Here is some text  </vt:lpstr>
    </vt:vector>
  </properties:TitlesOfParts>
  <properties:LinksUpToDate>false</properties:LinksUpToDate>
  <properties:CharactersWithSpaces>28872</properties:CharactersWithSpaces>
  <properties:SharedDoc>false</properties:SharedDoc>
  <properties:HyperlinksChanged>false</properties:HyperlinksChanged>
  <properties:Application>docx4j</properties:Application>
  <properties:AppVersion>2.7.1</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2012-09-17T18:31:00Z</dcterms:created>
  <dc:creator>Rocio</dc:creator>
  <dc:description/>
  <cp:keywords/>
  <cp:lastModifiedBy>docx4j</cp:lastModifiedBy>
  <dcterms:modified xmlns:xsi="http://www.w3.org/2001/XMLSchema-instance" xsi:type="dcterms:W3CDTF">2020-09-28T13:34:00Z</dcterms:modified>
  <cp:revision>61</cp:revision>
  <dc:subject/>
  <dc:title>Here is some text  </dc:title>
</cp:coreProperties>
</file>